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7118" w14:textId="77777777" w:rsidR="007551E5" w:rsidRDefault="007551E5">
      <w:pPr>
        <w:widowControl w:val="0"/>
        <w:autoSpaceDE w:val="0"/>
        <w:autoSpaceDN w:val="0"/>
        <w:adjustRightInd w:val="0"/>
        <w:spacing w:after="0" w:line="240" w:lineRule="auto"/>
        <w:jc w:val="center"/>
        <w:rPr>
          <w:rFonts w:ascii="Arial" w:hAnsi="Arial" w:cs="Arial"/>
          <w:b/>
          <w:bCs/>
          <w:sz w:val="20"/>
          <w:szCs w:val="20"/>
        </w:rPr>
      </w:pPr>
    </w:p>
    <w:p w14:paraId="23536F00" w14:textId="207696E2" w:rsidR="00CE0D4C" w:rsidRPr="00410D1E" w:rsidRDefault="00C755E4" w:rsidP="00CE0D4C">
      <w:pPr>
        <w:jc w:val="right"/>
      </w:pPr>
      <w:r>
        <w:t>0</w:t>
      </w:r>
      <w:r w:rsidR="008208F3">
        <w:t>9</w:t>
      </w:r>
      <w:r w:rsidR="00CE0D4C">
        <w:t>/</w:t>
      </w:r>
      <w:r w:rsidR="004E68AA">
        <w:t>0</w:t>
      </w:r>
      <w:r w:rsidR="008208F3">
        <w:t>4</w:t>
      </w:r>
      <w:r w:rsidR="00CE0D4C">
        <w:t>/20</w:t>
      </w:r>
      <w:r w:rsidR="004E68AA">
        <w:t>2</w:t>
      </w:r>
      <w:r w:rsidR="00145157">
        <w:t>1</w:t>
      </w:r>
    </w:p>
    <w:p w14:paraId="52D61F34" w14:textId="0E00AA7F" w:rsidR="00CE0D4C" w:rsidRPr="00CE0D4C" w:rsidRDefault="00CE0D4C" w:rsidP="00CE0D4C">
      <w:pPr>
        <w:pStyle w:val="Ttulo1"/>
      </w:pPr>
      <w:r w:rsidRPr="00CE0D4C">
        <w:t xml:space="preserve">Subject │ Minutes of the </w:t>
      </w:r>
      <w:r w:rsidR="008208F3">
        <w:t xml:space="preserve">follow-up </w:t>
      </w:r>
      <w:r w:rsidR="00145157">
        <w:t>Second</w:t>
      </w:r>
      <w:r w:rsidR="00CF6C48">
        <w:t xml:space="preserve"> Working Group </w:t>
      </w:r>
      <w:r w:rsidR="00C755E4">
        <w:t>4</w:t>
      </w:r>
      <w:r w:rsidR="00CF6C48">
        <w:t xml:space="preserve"> </w:t>
      </w:r>
      <w:r w:rsidRPr="00CE0D4C">
        <w:t xml:space="preserve">Meeting of COST Action CA18221: “PEsticide RIsk AssessMent for Amphibians and Reptiles” </w:t>
      </w:r>
    </w:p>
    <w:p w14:paraId="7B77DD50" w14:textId="77777777" w:rsidR="00CE0D4C" w:rsidRPr="00145157" w:rsidRDefault="00CE0D4C" w:rsidP="00CE0D4C">
      <w:pPr>
        <w:rPr>
          <w:lang w:val="en-GB"/>
        </w:rPr>
      </w:pPr>
    </w:p>
    <w:p w14:paraId="40723495" w14:textId="1765B09C" w:rsidR="00CF6C48" w:rsidRPr="00CF6C48" w:rsidRDefault="00CF6C48" w:rsidP="00CF6C48">
      <w:pPr>
        <w:pStyle w:val="Numberedlist"/>
        <w:numPr>
          <w:ilvl w:val="0"/>
          <w:numId w:val="10"/>
        </w:numPr>
        <w:rPr>
          <w:b/>
          <w:color w:val="auto"/>
        </w:rPr>
      </w:pPr>
      <w:r w:rsidRPr="00CF6C48">
        <w:rPr>
          <w:b/>
          <w:color w:val="auto"/>
        </w:rPr>
        <w:t>Welcome</w:t>
      </w:r>
      <w:r w:rsidR="00C914DA">
        <w:rPr>
          <w:b/>
          <w:color w:val="auto"/>
        </w:rPr>
        <w:t xml:space="preserve"> and introduction of</w:t>
      </w:r>
      <w:r w:rsidRPr="00CF6C48">
        <w:rPr>
          <w:b/>
          <w:color w:val="auto"/>
        </w:rPr>
        <w:t xml:space="preserve"> participants</w:t>
      </w:r>
    </w:p>
    <w:p w14:paraId="78580EF8" w14:textId="4ED29339" w:rsidR="00CF6C48" w:rsidRDefault="00CF6C48" w:rsidP="00CF6C48">
      <w:pPr>
        <w:spacing w:after="120" w:line="260" w:lineRule="atLeast"/>
        <w:jc w:val="both"/>
        <w:rPr>
          <w:rFonts w:ascii="Arial" w:eastAsiaTheme="minorHAnsi" w:hAnsi="Arial" w:cstheme="minorBidi"/>
          <w:sz w:val="20"/>
          <w:szCs w:val="24"/>
          <w:lang w:val="en-GB" w:eastAsia="en-US"/>
        </w:rPr>
      </w:pPr>
      <w:r w:rsidRPr="00CF6C48">
        <w:rPr>
          <w:rFonts w:ascii="Arial" w:eastAsiaTheme="minorHAnsi" w:hAnsi="Arial" w:cstheme="minorBidi"/>
          <w:sz w:val="20"/>
          <w:szCs w:val="24"/>
          <w:lang w:val="en-GB" w:eastAsia="en-US"/>
        </w:rPr>
        <w:t>The participants</w:t>
      </w:r>
      <w:r>
        <w:rPr>
          <w:rFonts w:ascii="Arial" w:eastAsiaTheme="minorHAnsi" w:hAnsi="Arial" w:cstheme="minorBidi"/>
          <w:sz w:val="20"/>
          <w:szCs w:val="24"/>
          <w:lang w:val="en-GB" w:eastAsia="en-US"/>
        </w:rPr>
        <w:t xml:space="preserve"> </w:t>
      </w:r>
      <w:r w:rsidRPr="00CF6C48">
        <w:rPr>
          <w:rFonts w:ascii="Arial" w:eastAsiaTheme="minorHAnsi" w:hAnsi="Arial" w:cstheme="minorBidi"/>
          <w:sz w:val="20"/>
          <w:szCs w:val="24"/>
          <w:lang w:val="en-GB" w:eastAsia="en-US"/>
        </w:rPr>
        <w:t>(</w:t>
      </w:r>
      <w:r w:rsidRPr="00CF6C48">
        <w:rPr>
          <w:rFonts w:ascii="Arial" w:eastAsiaTheme="minorHAnsi" w:hAnsi="Arial" w:cstheme="minorBidi"/>
          <w:b/>
          <w:sz w:val="20"/>
          <w:szCs w:val="24"/>
          <w:lang w:val="en-GB" w:eastAsia="en-US"/>
        </w:rPr>
        <w:t>Annex 1</w:t>
      </w:r>
      <w:r w:rsidRPr="00CF6C48">
        <w:rPr>
          <w:rFonts w:ascii="Arial" w:eastAsiaTheme="minorHAnsi" w:hAnsi="Arial" w:cstheme="minorBidi"/>
          <w:sz w:val="20"/>
          <w:szCs w:val="24"/>
          <w:lang w:val="en-GB" w:eastAsia="en-US"/>
        </w:rPr>
        <w:t xml:space="preserve">) were welcomed by </w:t>
      </w:r>
      <w:r w:rsidR="00243BA1">
        <w:rPr>
          <w:rFonts w:ascii="Arial" w:eastAsiaTheme="minorHAnsi" w:hAnsi="Arial" w:cstheme="minorBidi"/>
          <w:sz w:val="20"/>
          <w:szCs w:val="24"/>
          <w:lang w:val="en-GB" w:eastAsia="en-US"/>
        </w:rPr>
        <w:t>Paulien Adriaane and Wim Beltman, leaders of Task 2.3</w:t>
      </w:r>
      <w:r w:rsidRPr="00CF6C48">
        <w:rPr>
          <w:rFonts w:ascii="Arial" w:eastAsiaTheme="minorHAnsi" w:hAnsi="Arial" w:cstheme="minorBidi"/>
          <w:sz w:val="20"/>
          <w:szCs w:val="24"/>
          <w:lang w:val="en-GB" w:eastAsia="en-US"/>
        </w:rPr>
        <w:t xml:space="preserve">. </w:t>
      </w:r>
    </w:p>
    <w:p w14:paraId="65432DF0" w14:textId="77777777" w:rsidR="002A7BE0" w:rsidRPr="00CF6C48" w:rsidRDefault="002A7BE0" w:rsidP="00CF6C48">
      <w:pPr>
        <w:spacing w:after="120" w:line="260" w:lineRule="atLeast"/>
        <w:jc w:val="both"/>
        <w:rPr>
          <w:rFonts w:ascii="Arial" w:eastAsiaTheme="minorHAnsi" w:hAnsi="Arial" w:cstheme="minorBidi"/>
          <w:sz w:val="20"/>
          <w:szCs w:val="24"/>
          <w:lang w:val="en-GB" w:eastAsia="en-US"/>
        </w:rPr>
      </w:pPr>
    </w:p>
    <w:p w14:paraId="5D46351D" w14:textId="77777777" w:rsidR="00CF6C48" w:rsidRDefault="00CF6C48" w:rsidP="00CF6C48">
      <w:pPr>
        <w:pStyle w:val="Numberedlist"/>
        <w:numPr>
          <w:ilvl w:val="0"/>
          <w:numId w:val="10"/>
        </w:numPr>
        <w:rPr>
          <w:b/>
          <w:color w:val="auto"/>
        </w:rPr>
      </w:pPr>
      <w:r w:rsidRPr="00CF6C48">
        <w:rPr>
          <w:b/>
          <w:color w:val="auto"/>
        </w:rPr>
        <w:t>Adoption of agenda</w:t>
      </w:r>
    </w:p>
    <w:p w14:paraId="69708D13" w14:textId="77777777" w:rsidR="00CF6C48" w:rsidRDefault="00CF6C48" w:rsidP="00CF6C48">
      <w:pPr>
        <w:spacing w:after="120" w:line="260" w:lineRule="atLeast"/>
        <w:jc w:val="both"/>
        <w:rPr>
          <w:rFonts w:ascii="Arial" w:eastAsiaTheme="minorHAnsi" w:hAnsi="Arial" w:cstheme="minorBidi"/>
          <w:sz w:val="20"/>
          <w:szCs w:val="24"/>
          <w:lang w:val="en-GB" w:eastAsia="en-US"/>
        </w:rPr>
      </w:pPr>
      <w:r w:rsidRPr="00CF6C48">
        <w:rPr>
          <w:rFonts w:ascii="Arial" w:eastAsiaTheme="minorHAnsi" w:hAnsi="Arial" w:cstheme="minorBidi"/>
          <w:sz w:val="20"/>
          <w:szCs w:val="24"/>
          <w:lang w:val="en-GB" w:eastAsia="en-US"/>
        </w:rPr>
        <w:t>The agenda (</w:t>
      </w:r>
      <w:r w:rsidRPr="00CF6C48">
        <w:rPr>
          <w:rFonts w:ascii="Arial" w:eastAsiaTheme="minorHAnsi" w:hAnsi="Arial" w:cstheme="minorBidi"/>
          <w:b/>
          <w:sz w:val="20"/>
          <w:szCs w:val="24"/>
          <w:lang w:val="en-GB" w:eastAsia="en-US"/>
        </w:rPr>
        <w:t xml:space="preserve">Annex </w:t>
      </w:r>
      <w:r>
        <w:rPr>
          <w:rFonts w:ascii="Arial" w:eastAsiaTheme="minorHAnsi" w:hAnsi="Arial" w:cstheme="minorBidi"/>
          <w:b/>
          <w:sz w:val="20"/>
          <w:szCs w:val="24"/>
          <w:lang w:val="en-GB" w:eastAsia="en-US"/>
        </w:rPr>
        <w:t>2</w:t>
      </w:r>
      <w:r w:rsidRPr="00CF6C48">
        <w:rPr>
          <w:rFonts w:ascii="Arial" w:eastAsiaTheme="minorHAnsi" w:hAnsi="Arial" w:cstheme="minorBidi"/>
          <w:sz w:val="20"/>
          <w:szCs w:val="24"/>
          <w:lang w:val="en-GB" w:eastAsia="en-US"/>
        </w:rPr>
        <w:t>) for the meeting was adopted.</w:t>
      </w:r>
    </w:p>
    <w:p w14:paraId="1DE0EF31" w14:textId="77777777" w:rsidR="002A7BE0" w:rsidRPr="00CF6C48" w:rsidRDefault="002A7BE0" w:rsidP="00CF6C48">
      <w:pPr>
        <w:spacing w:after="120" w:line="260" w:lineRule="atLeast"/>
        <w:jc w:val="both"/>
        <w:rPr>
          <w:rFonts w:ascii="Arial" w:eastAsiaTheme="minorHAnsi" w:hAnsi="Arial" w:cstheme="minorBidi"/>
          <w:sz w:val="20"/>
          <w:szCs w:val="24"/>
          <w:lang w:val="en-GB" w:eastAsia="en-US"/>
        </w:rPr>
      </w:pPr>
    </w:p>
    <w:p w14:paraId="5944E3BF" w14:textId="45FA5B99" w:rsidR="00CF6C48" w:rsidRPr="00B912F9" w:rsidRDefault="00B912F9" w:rsidP="00B912F9">
      <w:pPr>
        <w:pStyle w:val="Prrafodelista"/>
        <w:numPr>
          <w:ilvl w:val="0"/>
          <w:numId w:val="10"/>
        </w:numPr>
        <w:rPr>
          <w:rFonts w:ascii="Arial" w:eastAsiaTheme="minorHAnsi" w:hAnsi="Arial" w:cstheme="minorBidi"/>
          <w:b/>
          <w:sz w:val="20"/>
          <w:szCs w:val="24"/>
          <w:lang w:val="en-GB" w:eastAsia="en-US"/>
        </w:rPr>
      </w:pPr>
      <w:r w:rsidRPr="00B912F9">
        <w:rPr>
          <w:rFonts w:ascii="Arial" w:eastAsiaTheme="minorHAnsi" w:hAnsi="Arial" w:cstheme="minorBidi"/>
          <w:b/>
          <w:sz w:val="20"/>
          <w:szCs w:val="24"/>
          <w:lang w:val="en-GB" w:eastAsia="en-US"/>
        </w:rPr>
        <w:t>General scope of the task 2.3</w:t>
      </w:r>
    </w:p>
    <w:p w14:paraId="55C7D4C6" w14:textId="636A9E26" w:rsidR="0078398A" w:rsidRPr="0078398A" w:rsidRDefault="00B912F9" w:rsidP="002E7498">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Paulien Adriaane and Wim Beltman</w:t>
      </w:r>
      <w:r>
        <w:rPr>
          <w:rFonts w:ascii="Arial" w:eastAsiaTheme="minorHAnsi" w:hAnsi="Arial" w:cstheme="minorBidi"/>
          <w:sz w:val="20"/>
          <w:szCs w:val="24"/>
          <w:lang w:val="en-GB" w:eastAsia="en-US"/>
        </w:rPr>
        <w:t xml:space="preserve"> presented the general scope of task 2.3 within the context of PERIAMAR, and the goals to implement the task during the action lifetime.</w:t>
      </w:r>
      <w:r w:rsidR="00E303A5" w:rsidRPr="00E303A5">
        <w:rPr>
          <w:rFonts w:ascii="Arial" w:eastAsiaTheme="minorHAnsi" w:hAnsi="Arial" w:cstheme="minorBidi"/>
          <w:sz w:val="20"/>
          <w:szCs w:val="24"/>
          <w:lang w:val="en-GB" w:eastAsia="en-US"/>
        </w:rPr>
        <w:t xml:space="preserve"> </w:t>
      </w:r>
    </w:p>
    <w:p w14:paraId="6E3AA258" w14:textId="77777777" w:rsidR="002A7BE0" w:rsidRPr="00E303A5" w:rsidRDefault="002A7BE0" w:rsidP="00E303A5">
      <w:pPr>
        <w:spacing w:after="120" w:line="260" w:lineRule="atLeast"/>
        <w:jc w:val="both"/>
        <w:rPr>
          <w:rFonts w:ascii="Arial" w:eastAsiaTheme="minorHAnsi" w:hAnsi="Arial" w:cstheme="minorBidi"/>
          <w:sz w:val="20"/>
          <w:szCs w:val="24"/>
          <w:lang w:val="en-GB" w:eastAsia="en-US"/>
        </w:rPr>
      </w:pPr>
    </w:p>
    <w:p w14:paraId="5A72F1D1" w14:textId="4BFE05AB" w:rsidR="00CF6C48" w:rsidRPr="007A424B" w:rsidRDefault="007A424B" w:rsidP="007A424B">
      <w:pPr>
        <w:pStyle w:val="Prrafodelista"/>
        <w:numPr>
          <w:ilvl w:val="0"/>
          <w:numId w:val="10"/>
        </w:numPr>
        <w:rPr>
          <w:rFonts w:ascii="Arial" w:eastAsiaTheme="minorHAnsi" w:hAnsi="Arial" w:cstheme="minorBidi"/>
          <w:b/>
          <w:sz w:val="20"/>
          <w:szCs w:val="24"/>
          <w:lang w:val="en-GB" w:eastAsia="en-US"/>
        </w:rPr>
      </w:pPr>
      <w:r w:rsidRPr="007A424B">
        <w:rPr>
          <w:rFonts w:ascii="Arial" w:eastAsiaTheme="minorHAnsi" w:hAnsi="Arial" w:cstheme="minorBidi"/>
          <w:b/>
          <w:sz w:val="20"/>
          <w:szCs w:val="24"/>
          <w:lang w:val="en-GB" w:eastAsia="en-US"/>
        </w:rPr>
        <w:t xml:space="preserve">Amphibian ponds; aim, data collected in EFSA opinion and questions </w:t>
      </w:r>
    </w:p>
    <w:p w14:paraId="5F7C701A" w14:textId="6CF3153A" w:rsidR="003601A0" w:rsidRPr="003601A0" w:rsidRDefault="003601A0" w:rsidP="00100F71">
      <w:pPr>
        <w:jc w:val="both"/>
        <w:rPr>
          <w:rFonts w:ascii="Arial" w:hAnsi="Arial" w:cs="Arial"/>
          <w:sz w:val="20"/>
          <w:szCs w:val="20"/>
          <w:lang w:val="en-US"/>
        </w:rPr>
      </w:pPr>
      <w:r w:rsidRPr="003601A0">
        <w:rPr>
          <w:rFonts w:ascii="Arial" w:hAnsi="Arial" w:cs="Arial"/>
          <w:sz w:val="20"/>
          <w:szCs w:val="20"/>
          <w:lang w:val="en-US"/>
        </w:rPr>
        <w:t>Characteristics of amphibian ponds were discussed in order to get to know the requirements for the simulation model for the fate and behaviour of the pesticide in the amphibian breeding pond.</w:t>
      </w:r>
    </w:p>
    <w:p w14:paraId="43E58264" w14:textId="77777777" w:rsidR="003601A0" w:rsidRPr="003601A0" w:rsidRDefault="003601A0" w:rsidP="00100F71">
      <w:pPr>
        <w:jc w:val="both"/>
        <w:rPr>
          <w:rFonts w:ascii="Arial" w:hAnsi="Arial" w:cs="Arial"/>
          <w:sz w:val="20"/>
          <w:szCs w:val="20"/>
          <w:lang w:val="en-US"/>
        </w:rPr>
      </w:pPr>
      <w:r w:rsidRPr="003601A0">
        <w:rPr>
          <w:rFonts w:ascii="Arial" w:hAnsi="Arial" w:cs="Arial"/>
          <w:i/>
          <w:iCs/>
          <w:sz w:val="20"/>
          <w:szCs w:val="20"/>
          <w:lang w:val="en-US"/>
        </w:rPr>
        <w:t xml:space="preserve">Depth, water surface area and side slope: </w:t>
      </w:r>
      <w:r w:rsidRPr="003601A0">
        <w:rPr>
          <w:rFonts w:ascii="Arial" w:hAnsi="Arial" w:cs="Arial"/>
          <w:i/>
          <w:iCs/>
          <w:sz w:val="20"/>
          <w:szCs w:val="20"/>
          <w:lang w:val="en-US"/>
        </w:rPr>
        <w:br/>
      </w:r>
      <w:r w:rsidRPr="003601A0">
        <w:rPr>
          <w:rFonts w:ascii="Arial" w:hAnsi="Arial" w:cs="Arial"/>
          <w:sz w:val="20"/>
          <w:szCs w:val="20"/>
          <w:lang w:val="en-US"/>
        </w:rPr>
        <w:t>No real min and max, 10-20 cm up to 2 m is most common. Bigger and deeper lakes: amphibians on the edge, not in the central part, but this may influence pesticide concentrations at the edge.</w:t>
      </w:r>
    </w:p>
    <w:p w14:paraId="56C81436" w14:textId="77777777" w:rsidR="003601A0" w:rsidRPr="003601A0" w:rsidRDefault="003601A0" w:rsidP="00100F71">
      <w:pPr>
        <w:jc w:val="both"/>
        <w:rPr>
          <w:rFonts w:ascii="Arial" w:hAnsi="Arial" w:cs="Arial"/>
          <w:sz w:val="20"/>
          <w:szCs w:val="20"/>
          <w:lang w:val="en-US"/>
        </w:rPr>
      </w:pPr>
      <w:r w:rsidRPr="003601A0">
        <w:rPr>
          <w:rFonts w:ascii="Arial" w:hAnsi="Arial" w:cs="Arial"/>
          <w:sz w:val="20"/>
          <w:szCs w:val="20"/>
          <w:lang w:val="en-US"/>
        </w:rPr>
        <w:t>Lakes less frequent, more small ponds/streams. Whether a pond is permanent or temporary may depend on the year. Permanent : at least few metres in diameter, northern Europe may be smaller.</w:t>
      </w:r>
    </w:p>
    <w:p w14:paraId="54BC4C4F" w14:textId="77777777" w:rsidR="003601A0" w:rsidRPr="003601A0" w:rsidRDefault="003601A0" w:rsidP="00100F71">
      <w:pPr>
        <w:jc w:val="both"/>
        <w:rPr>
          <w:rFonts w:ascii="Arial" w:hAnsi="Arial" w:cs="Arial"/>
          <w:sz w:val="20"/>
          <w:szCs w:val="20"/>
          <w:lang w:val="en-US"/>
        </w:rPr>
      </w:pPr>
      <w:r w:rsidRPr="003601A0">
        <w:rPr>
          <w:rFonts w:ascii="Arial" w:hAnsi="Arial" w:cs="Arial"/>
          <w:sz w:val="20"/>
          <w:szCs w:val="20"/>
          <w:lang w:val="en-US"/>
        </w:rPr>
        <w:t>New amphibian pond construction in NL: minimum of 25 *25 m with a wish of 1/5yr to fall dry (-&gt; fish die, so reset for amphibians). If fish present: no amphibians anymore. New ponds should have gentle slopes  on west, north, east side to receive the sun in the morning, midday and afternoon, deeper parts for overwintering (2 m) and ‘bumpy’ side slopes.</w:t>
      </w:r>
    </w:p>
    <w:p w14:paraId="56C853BB" w14:textId="77777777" w:rsidR="003601A0" w:rsidRPr="003601A0" w:rsidRDefault="003601A0" w:rsidP="00100F71">
      <w:pPr>
        <w:jc w:val="both"/>
        <w:rPr>
          <w:rFonts w:ascii="Arial" w:hAnsi="Arial" w:cs="Arial"/>
          <w:sz w:val="20"/>
          <w:szCs w:val="20"/>
          <w:lang w:val="en-US"/>
        </w:rPr>
      </w:pPr>
      <w:r w:rsidRPr="003601A0">
        <w:rPr>
          <w:rFonts w:ascii="Arial" w:hAnsi="Arial" w:cs="Arial"/>
          <w:sz w:val="20"/>
          <w:szCs w:val="20"/>
          <w:lang w:val="en-US"/>
        </w:rPr>
        <w:t>Generally side slope not so important if at least amphibians can come in and out.</w:t>
      </w:r>
    </w:p>
    <w:p w14:paraId="5E410F63" w14:textId="77777777" w:rsidR="003601A0" w:rsidRPr="003601A0" w:rsidRDefault="003601A0" w:rsidP="00100F71">
      <w:pPr>
        <w:jc w:val="both"/>
        <w:rPr>
          <w:rFonts w:ascii="Arial" w:hAnsi="Arial" w:cs="Arial"/>
          <w:sz w:val="20"/>
          <w:szCs w:val="20"/>
          <w:lang w:val="en-US"/>
        </w:rPr>
      </w:pPr>
      <w:r w:rsidRPr="003601A0">
        <w:rPr>
          <w:rFonts w:ascii="Arial" w:hAnsi="Arial" w:cs="Arial"/>
          <w:i/>
          <w:iCs/>
          <w:sz w:val="20"/>
          <w:szCs w:val="20"/>
          <w:lang w:val="en-US"/>
        </w:rPr>
        <w:t>Water temperature:</w:t>
      </w:r>
      <w:r w:rsidRPr="003601A0">
        <w:rPr>
          <w:rFonts w:ascii="Arial" w:hAnsi="Arial" w:cs="Arial"/>
          <w:i/>
          <w:iCs/>
          <w:sz w:val="20"/>
          <w:szCs w:val="20"/>
          <w:lang w:val="en-US"/>
        </w:rPr>
        <w:br/>
      </w:r>
      <w:r w:rsidRPr="003601A0">
        <w:rPr>
          <w:rFonts w:ascii="Arial" w:hAnsi="Arial" w:cs="Arial"/>
          <w:sz w:val="20"/>
          <w:szCs w:val="20"/>
          <w:lang w:val="en-US"/>
        </w:rPr>
        <w:t>Paper from Germany: up to 37˚C. Higher is rare, not occurring, even in Spain. Many amphib can deal with cold or/and warm water, so no restrictions. Temperature does have an influence on the time of development of e.g. tadpoles. Overwintering: tadpoles as well as adults may be inactive in winter.</w:t>
      </w:r>
    </w:p>
    <w:p w14:paraId="00F83CBC" w14:textId="77777777" w:rsidR="003601A0" w:rsidRPr="003601A0" w:rsidRDefault="003601A0" w:rsidP="00100F71">
      <w:pPr>
        <w:jc w:val="both"/>
        <w:rPr>
          <w:rFonts w:ascii="Arial" w:hAnsi="Arial" w:cs="Arial"/>
          <w:sz w:val="20"/>
          <w:szCs w:val="20"/>
          <w:lang w:val="en-US"/>
        </w:rPr>
      </w:pPr>
      <w:r w:rsidRPr="003601A0">
        <w:rPr>
          <w:rFonts w:ascii="Arial" w:hAnsi="Arial" w:cs="Arial"/>
          <w:i/>
          <w:iCs/>
          <w:sz w:val="20"/>
          <w:szCs w:val="20"/>
          <w:lang w:val="en-US"/>
        </w:rPr>
        <w:lastRenderedPageBreak/>
        <w:t xml:space="preserve">Sediment: </w:t>
      </w:r>
      <w:r w:rsidRPr="003601A0">
        <w:rPr>
          <w:rFonts w:ascii="Arial" w:hAnsi="Arial" w:cs="Arial"/>
          <w:i/>
          <w:iCs/>
          <w:sz w:val="20"/>
          <w:szCs w:val="20"/>
          <w:lang w:val="en-US"/>
        </w:rPr>
        <w:br/>
      </w:r>
      <w:r w:rsidRPr="003601A0">
        <w:rPr>
          <w:rFonts w:ascii="Arial" w:hAnsi="Arial" w:cs="Arial"/>
          <w:sz w:val="20"/>
          <w:szCs w:val="20"/>
          <w:lang w:val="en-US"/>
        </w:rPr>
        <w:t>No limitation on depth, the current 10 cm in TOXSWA does seem reasonable and a priori not too shallow. In fact there are no data on sed depth. Often overwintering in pond is not so important, most overwinter outside the pond.</w:t>
      </w:r>
      <w:r w:rsidRPr="003601A0">
        <w:rPr>
          <w:rFonts w:ascii="Arial" w:hAnsi="Arial" w:cs="Arial"/>
          <w:sz w:val="20"/>
          <w:szCs w:val="20"/>
          <w:lang w:val="en-US"/>
        </w:rPr>
        <w:br/>
        <w:t>The ticker the layer, the less oxygen it contains.</w:t>
      </w:r>
    </w:p>
    <w:p w14:paraId="4E3E9DC3" w14:textId="77777777" w:rsidR="003601A0" w:rsidRPr="003601A0" w:rsidRDefault="003601A0" w:rsidP="00100F71">
      <w:pPr>
        <w:jc w:val="both"/>
        <w:rPr>
          <w:rFonts w:ascii="Arial" w:hAnsi="Arial" w:cs="Arial"/>
          <w:sz w:val="20"/>
          <w:szCs w:val="20"/>
          <w:lang w:val="en-US"/>
        </w:rPr>
      </w:pPr>
      <w:r w:rsidRPr="003601A0">
        <w:rPr>
          <w:rFonts w:ascii="Arial" w:hAnsi="Arial" w:cs="Arial"/>
          <w:i/>
          <w:iCs/>
          <w:sz w:val="20"/>
          <w:szCs w:val="20"/>
          <w:lang w:val="en-US"/>
        </w:rPr>
        <w:t>Water plants, pH:</w:t>
      </w:r>
      <w:r w:rsidRPr="003601A0">
        <w:rPr>
          <w:rFonts w:ascii="Arial" w:hAnsi="Arial" w:cs="Arial"/>
          <w:i/>
          <w:iCs/>
          <w:sz w:val="20"/>
          <w:szCs w:val="20"/>
          <w:lang w:val="en-US"/>
        </w:rPr>
        <w:br/>
      </w:r>
      <w:r w:rsidRPr="003601A0">
        <w:rPr>
          <w:rFonts w:ascii="Arial" w:hAnsi="Arial" w:cs="Arial"/>
          <w:sz w:val="20"/>
          <w:szCs w:val="20"/>
          <w:lang w:val="en-US"/>
        </w:rPr>
        <w:t>No water plants up to high density is possible, depending on species. High densities may provoke pH variations (easily 8-10.5). Generally, permanent ponds always do have some vegetation. All in all, no limitations.</w:t>
      </w:r>
    </w:p>
    <w:p w14:paraId="533714C9" w14:textId="77777777" w:rsidR="003601A0" w:rsidRPr="003601A0" w:rsidRDefault="003601A0" w:rsidP="00100F71">
      <w:pPr>
        <w:jc w:val="both"/>
        <w:rPr>
          <w:rFonts w:ascii="Arial" w:hAnsi="Arial" w:cs="Arial"/>
          <w:sz w:val="20"/>
          <w:szCs w:val="20"/>
          <w:lang w:val="en-US"/>
        </w:rPr>
      </w:pPr>
      <w:r w:rsidRPr="003601A0">
        <w:rPr>
          <w:rFonts w:ascii="Arial" w:hAnsi="Arial" w:cs="Arial"/>
          <w:sz w:val="20"/>
          <w:szCs w:val="20"/>
          <w:lang w:val="en-US"/>
        </w:rPr>
        <w:t>Wide range of pH is also possible. Some species tolerate low pH of e.g. 4. Exceptional case: high pH ammonia becomes ammoniac gass which may be toxic</w:t>
      </w:r>
    </w:p>
    <w:p w14:paraId="03254B40" w14:textId="77777777" w:rsidR="003601A0" w:rsidRPr="003601A0" w:rsidRDefault="003601A0" w:rsidP="00100F71">
      <w:pPr>
        <w:jc w:val="both"/>
        <w:rPr>
          <w:rFonts w:ascii="Arial" w:hAnsi="Arial" w:cs="Arial"/>
          <w:sz w:val="20"/>
          <w:szCs w:val="20"/>
          <w:lang w:val="en-US"/>
        </w:rPr>
      </w:pPr>
      <w:r w:rsidRPr="003601A0">
        <w:rPr>
          <w:rFonts w:ascii="Arial" w:hAnsi="Arial" w:cs="Arial"/>
          <w:i/>
          <w:iCs/>
          <w:sz w:val="20"/>
          <w:szCs w:val="20"/>
          <w:lang w:val="en-US"/>
        </w:rPr>
        <w:t>Surrounding vegetation:</w:t>
      </w:r>
      <w:r w:rsidRPr="003601A0">
        <w:rPr>
          <w:rFonts w:ascii="Arial" w:hAnsi="Arial" w:cs="Arial"/>
          <w:i/>
          <w:iCs/>
          <w:sz w:val="20"/>
          <w:szCs w:val="20"/>
          <w:lang w:val="en-US"/>
        </w:rPr>
        <w:br/>
      </w:r>
      <w:r w:rsidRPr="003601A0">
        <w:rPr>
          <w:rFonts w:ascii="Arial" w:hAnsi="Arial" w:cs="Arial"/>
          <w:sz w:val="20"/>
          <w:szCs w:val="20"/>
          <w:lang w:val="en-US"/>
        </w:rPr>
        <w:t>Nothing to lots of reeds is possible. E.g. some toads like to burrow themselves in surrounding soil.</w:t>
      </w:r>
    </w:p>
    <w:p w14:paraId="48C47CC3" w14:textId="77777777" w:rsidR="003601A0" w:rsidRPr="003601A0" w:rsidRDefault="003601A0" w:rsidP="00100F71">
      <w:pPr>
        <w:jc w:val="both"/>
        <w:rPr>
          <w:rFonts w:ascii="Arial" w:hAnsi="Arial" w:cs="Arial"/>
          <w:sz w:val="20"/>
          <w:szCs w:val="20"/>
          <w:lang w:val="en-US"/>
        </w:rPr>
      </w:pPr>
      <w:r w:rsidRPr="003601A0">
        <w:rPr>
          <w:rFonts w:ascii="Arial" w:hAnsi="Arial" w:cs="Arial"/>
          <w:i/>
          <w:iCs/>
          <w:sz w:val="20"/>
          <w:szCs w:val="20"/>
          <w:lang w:val="en-US"/>
        </w:rPr>
        <w:t>Eutrophic state, turbidity, light/shadow:</w:t>
      </w:r>
      <w:r w:rsidRPr="003601A0">
        <w:rPr>
          <w:rFonts w:ascii="Arial" w:hAnsi="Arial" w:cs="Arial"/>
          <w:i/>
          <w:iCs/>
          <w:sz w:val="20"/>
          <w:szCs w:val="20"/>
          <w:lang w:val="en-US"/>
        </w:rPr>
        <w:br/>
      </w:r>
      <w:r w:rsidRPr="003601A0">
        <w:rPr>
          <w:rFonts w:ascii="Arial" w:hAnsi="Arial" w:cs="Arial"/>
          <w:sz w:val="20"/>
          <w:szCs w:val="20"/>
          <w:lang w:val="en-US"/>
        </w:rPr>
        <w:t>Clear water is better than muddy water.</w:t>
      </w:r>
      <w:r w:rsidRPr="003601A0">
        <w:rPr>
          <w:rFonts w:ascii="Arial" w:hAnsi="Arial" w:cs="Arial"/>
          <w:sz w:val="20"/>
          <w:szCs w:val="20"/>
          <w:lang w:val="en-US"/>
        </w:rPr>
        <w:br/>
        <w:t>Highly trophic: some species can deal with it (but may be developing slowly then).</w:t>
      </w:r>
      <w:r w:rsidRPr="003601A0">
        <w:rPr>
          <w:rFonts w:ascii="Arial" w:hAnsi="Arial" w:cs="Arial"/>
          <w:sz w:val="20"/>
          <w:szCs w:val="20"/>
          <w:lang w:val="en-US"/>
        </w:rPr>
        <w:br/>
        <w:t>Light/shadow: sun is always good, but some species live in forest ponds in the shade.</w:t>
      </w:r>
    </w:p>
    <w:p w14:paraId="34F32C9E" w14:textId="77777777" w:rsidR="003601A0" w:rsidRPr="003601A0" w:rsidRDefault="003601A0" w:rsidP="00100F71">
      <w:pPr>
        <w:jc w:val="both"/>
        <w:rPr>
          <w:rFonts w:ascii="Arial" w:hAnsi="Arial" w:cs="Arial"/>
          <w:sz w:val="20"/>
          <w:szCs w:val="20"/>
          <w:lang w:val="en-US"/>
        </w:rPr>
      </w:pPr>
      <w:r w:rsidRPr="003601A0">
        <w:rPr>
          <w:rFonts w:ascii="Arial" w:hAnsi="Arial" w:cs="Arial"/>
          <w:sz w:val="20"/>
          <w:szCs w:val="20"/>
          <w:lang w:val="en-US"/>
        </w:rPr>
        <w:t>Salty water may sometimes be a problem in NL, but other species may tolerate this.</w:t>
      </w:r>
    </w:p>
    <w:p w14:paraId="700389D4" w14:textId="77777777" w:rsidR="003601A0" w:rsidRPr="003601A0" w:rsidRDefault="003601A0" w:rsidP="00100F71">
      <w:pPr>
        <w:jc w:val="both"/>
        <w:rPr>
          <w:rFonts w:ascii="Arial" w:hAnsi="Arial" w:cs="Arial"/>
          <w:sz w:val="20"/>
          <w:szCs w:val="20"/>
          <w:lang w:val="en-US"/>
        </w:rPr>
      </w:pPr>
      <w:r w:rsidRPr="003601A0">
        <w:rPr>
          <w:rFonts w:ascii="Arial" w:hAnsi="Arial" w:cs="Arial"/>
          <w:i/>
          <w:iCs/>
          <w:sz w:val="20"/>
          <w:szCs w:val="20"/>
          <w:lang w:val="en-US"/>
        </w:rPr>
        <w:t>Hydrology pond:</w:t>
      </w:r>
      <w:r w:rsidRPr="003601A0">
        <w:rPr>
          <w:rFonts w:ascii="Arial" w:hAnsi="Arial" w:cs="Arial"/>
          <w:i/>
          <w:iCs/>
          <w:sz w:val="20"/>
          <w:szCs w:val="20"/>
          <w:lang w:val="en-US"/>
        </w:rPr>
        <w:br/>
      </w:r>
      <w:r w:rsidRPr="003601A0">
        <w:rPr>
          <w:rFonts w:ascii="Arial" w:hAnsi="Arial" w:cs="Arial"/>
          <w:sz w:val="20"/>
          <w:szCs w:val="20"/>
          <w:lang w:val="en-US"/>
        </w:rPr>
        <w:t>‘Good amphibian pond has neither inlet, nor outlet.’ -&gt; no fish can then disturb the amphibians.</w:t>
      </w:r>
      <w:r w:rsidRPr="003601A0">
        <w:rPr>
          <w:rFonts w:ascii="Arial" w:hAnsi="Arial" w:cs="Arial"/>
          <w:sz w:val="20"/>
          <w:szCs w:val="20"/>
          <w:lang w:val="en-US"/>
        </w:rPr>
        <w:br/>
        <w:t>Too fast flow may not be so suitable.</w:t>
      </w:r>
    </w:p>
    <w:p w14:paraId="52CB8173" w14:textId="77777777" w:rsidR="003601A0" w:rsidRPr="003601A0" w:rsidRDefault="003601A0" w:rsidP="00100F71">
      <w:pPr>
        <w:jc w:val="both"/>
        <w:rPr>
          <w:rFonts w:ascii="Arial" w:hAnsi="Arial" w:cs="Arial"/>
          <w:sz w:val="20"/>
          <w:szCs w:val="20"/>
          <w:lang w:val="en-US"/>
        </w:rPr>
      </w:pPr>
      <w:r w:rsidRPr="003601A0">
        <w:rPr>
          <w:rFonts w:ascii="Arial" w:hAnsi="Arial" w:cs="Arial"/>
          <w:i/>
          <w:iCs/>
          <w:sz w:val="20"/>
          <w:szCs w:val="20"/>
          <w:lang w:val="en-US"/>
        </w:rPr>
        <w:t>Pesticide entries:</w:t>
      </w:r>
      <w:r w:rsidRPr="003601A0">
        <w:rPr>
          <w:rFonts w:ascii="Arial" w:hAnsi="Arial" w:cs="Arial"/>
          <w:i/>
          <w:iCs/>
          <w:sz w:val="20"/>
          <w:szCs w:val="20"/>
          <w:lang w:val="en-US"/>
        </w:rPr>
        <w:br/>
      </w:r>
      <w:r w:rsidRPr="003601A0">
        <w:rPr>
          <w:rFonts w:ascii="Arial" w:hAnsi="Arial" w:cs="Arial"/>
          <w:sz w:val="20"/>
          <w:szCs w:val="20"/>
          <w:lang w:val="en-US"/>
        </w:rPr>
        <w:t>Atmospheric deposition: no evidence in EU (like in California). Long range only known to deposit in colder areas (poles). Probably minor route within EU compared to spray drift deposition, etc.</w:t>
      </w:r>
      <w:r w:rsidRPr="003601A0">
        <w:rPr>
          <w:rFonts w:ascii="Arial" w:hAnsi="Arial" w:cs="Arial"/>
          <w:sz w:val="20"/>
          <w:szCs w:val="20"/>
          <w:lang w:val="en-US"/>
        </w:rPr>
        <w:br/>
        <w:t>Eroded soil: if too much, turbid water, may become a problem. No data.</w:t>
      </w:r>
    </w:p>
    <w:p w14:paraId="6432074B" w14:textId="77777777" w:rsidR="003601A0" w:rsidRPr="003601A0" w:rsidRDefault="003601A0" w:rsidP="00100F71">
      <w:pPr>
        <w:jc w:val="both"/>
        <w:rPr>
          <w:rFonts w:ascii="Arial" w:hAnsi="Arial" w:cs="Arial"/>
          <w:sz w:val="20"/>
          <w:szCs w:val="20"/>
          <w:lang w:val="en-US"/>
        </w:rPr>
      </w:pPr>
      <w:r w:rsidRPr="003601A0">
        <w:rPr>
          <w:rFonts w:ascii="Arial" w:hAnsi="Arial" w:cs="Arial"/>
          <w:i/>
          <w:iCs/>
          <w:sz w:val="20"/>
          <w:szCs w:val="20"/>
          <w:lang w:val="en-US"/>
        </w:rPr>
        <w:t>Other:</w:t>
      </w:r>
      <w:r w:rsidRPr="003601A0">
        <w:rPr>
          <w:rFonts w:ascii="Arial" w:hAnsi="Arial" w:cs="Arial"/>
          <w:i/>
          <w:iCs/>
          <w:sz w:val="20"/>
          <w:szCs w:val="20"/>
          <w:lang w:val="en-US"/>
        </w:rPr>
        <w:br/>
      </w:r>
      <w:r w:rsidRPr="003601A0">
        <w:rPr>
          <w:rFonts w:ascii="Arial" w:hAnsi="Arial" w:cs="Arial"/>
          <w:sz w:val="20"/>
          <w:szCs w:val="20"/>
          <w:lang w:val="en-US"/>
        </w:rPr>
        <w:t>Background pond density is important: cluster of ponds are likely to be more supportive for amphibs.</w:t>
      </w:r>
    </w:p>
    <w:p w14:paraId="0F286DC8" w14:textId="3EB79256" w:rsidR="003601A0" w:rsidRPr="003601A0" w:rsidRDefault="003601A0" w:rsidP="00100F71">
      <w:pPr>
        <w:jc w:val="both"/>
        <w:rPr>
          <w:rFonts w:ascii="Arial" w:hAnsi="Arial" w:cs="Arial"/>
          <w:sz w:val="20"/>
          <w:szCs w:val="20"/>
          <w:lang w:val="en-US"/>
        </w:rPr>
      </w:pPr>
      <w:r w:rsidRPr="003601A0">
        <w:rPr>
          <w:rFonts w:ascii="Arial" w:hAnsi="Arial" w:cs="Arial"/>
          <w:sz w:val="20"/>
          <w:szCs w:val="20"/>
          <w:lang w:val="en-US"/>
        </w:rPr>
        <w:t xml:space="preserve">No specific </w:t>
      </w:r>
      <w:r w:rsidRPr="003601A0">
        <w:rPr>
          <w:rFonts w:ascii="Arial" w:hAnsi="Arial" w:cs="Arial"/>
          <w:i/>
          <w:iCs/>
          <w:sz w:val="20"/>
          <w:szCs w:val="20"/>
          <w:lang w:val="en-US"/>
        </w:rPr>
        <w:t>Regulatory zones issues</w:t>
      </w:r>
      <w:r w:rsidRPr="003601A0">
        <w:rPr>
          <w:rFonts w:ascii="Arial" w:hAnsi="Arial" w:cs="Arial"/>
          <w:sz w:val="20"/>
          <w:szCs w:val="20"/>
          <w:lang w:val="en-US"/>
        </w:rPr>
        <w:t>: no parameters to exclude.</w:t>
      </w:r>
    </w:p>
    <w:p w14:paraId="6EAC6AFF" w14:textId="42423EA2" w:rsidR="005E558A" w:rsidRPr="004A2916" w:rsidRDefault="005E558A" w:rsidP="00100F71">
      <w:pPr>
        <w:spacing w:after="120" w:line="260" w:lineRule="atLeast"/>
        <w:jc w:val="both"/>
        <w:rPr>
          <w:rFonts w:ascii="Arial" w:eastAsiaTheme="minorHAnsi" w:hAnsi="Arial" w:cs="Arial"/>
          <w:sz w:val="20"/>
          <w:szCs w:val="24"/>
          <w:lang w:val="en-GB" w:eastAsia="en-US"/>
        </w:rPr>
      </w:pPr>
    </w:p>
    <w:p w14:paraId="285DDACC" w14:textId="77777777" w:rsidR="004A2916" w:rsidRPr="004A2916" w:rsidRDefault="004A2916" w:rsidP="00100F71">
      <w:pPr>
        <w:jc w:val="both"/>
        <w:rPr>
          <w:rFonts w:ascii="Arial" w:hAnsi="Arial" w:cs="Arial"/>
          <w:sz w:val="20"/>
          <w:szCs w:val="20"/>
          <w:lang w:val="en-US"/>
        </w:rPr>
      </w:pPr>
      <w:r w:rsidRPr="004A2916">
        <w:rPr>
          <w:rFonts w:ascii="Arial" w:hAnsi="Arial" w:cs="Arial"/>
          <w:i/>
          <w:iCs/>
          <w:sz w:val="20"/>
          <w:szCs w:val="20"/>
          <w:lang w:val="en-US"/>
        </w:rPr>
        <w:t>Conclusions</w:t>
      </w:r>
      <w:r w:rsidRPr="004A2916">
        <w:rPr>
          <w:rFonts w:ascii="Arial" w:hAnsi="Arial" w:cs="Arial"/>
          <w:sz w:val="20"/>
          <w:szCs w:val="20"/>
          <w:lang w:val="en-US"/>
        </w:rPr>
        <w:t xml:space="preserve"> concerning </w:t>
      </w:r>
      <w:r w:rsidRPr="004A2916">
        <w:rPr>
          <w:rFonts w:ascii="Arial" w:hAnsi="Arial" w:cs="Arial"/>
          <w:i/>
          <w:iCs/>
          <w:sz w:val="20"/>
          <w:szCs w:val="20"/>
          <w:lang w:val="en-US"/>
        </w:rPr>
        <w:t>TOXSWA model</w:t>
      </w:r>
      <w:r w:rsidRPr="004A2916">
        <w:rPr>
          <w:rFonts w:ascii="Arial" w:hAnsi="Arial" w:cs="Arial"/>
          <w:sz w:val="20"/>
          <w:szCs w:val="20"/>
          <w:lang w:val="en-US"/>
        </w:rPr>
        <w:t xml:space="preserve"> development:</w:t>
      </w:r>
      <w:r w:rsidRPr="004A2916">
        <w:rPr>
          <w:rFonts w:ascii="Arial" w:hAnsi="Arial" w:cs="Arial"/>
          <w:sz w:val="20"/>
          <w:szCs w:val="20"/>
          <w:lang w:val="en-US"/>
        </w:rPr>
        <w:br/>
        <w:t>1. Simulation of temporary pond is important: e.g. within a time series of 20 years the model needs to allow for a pond running dry during a number of years</w:t>
      </w:r>
      <w:r w:rsidRPr="004A2916">
        <w:rPr>
          <w:rFonts w:ascii="Arial" w:hAnsi="Arial" w:cs="Arial"/>
          <w:sz w:val="20"/>
          <w:szCs w:val="20"/>
          <w:lang w:val="en-US"/>
        </w:rPr>
        <w:br/>
        <w:t>2. The model should be able to simulate a plausible hydrology in the pond, without having a permanent water inlet (what the current EU FOCUS pond has), i.e. only based upon rainfall, evaporation, (upward or downward) seepage and possibly surface runoff or drainage water. Water depth should vary as function of time.</w:t>
      </w:r>
      <w:r w:rsidRPr="004A2916">
        <w:rPr>
          <w:rFonts w:ascii="Arial" w:hAnsi="Arial" w:cs="Arial"/>
          <w:sz w:val="20"/>
          <w:szCs w:val="20"/>
          <w:lang w:val="en-US"/>
        </w:rPr>
        <w:br/>
        <w:t>3. A sediment depth of 10 cm seems OK, 25 cm is not needed (would have consequences for run time model)</w:t>
      </w:r>
    </w:p>
    <w:p w14:paraId="02699AA2" w14:textId="77777777" w:rsidR="004A2916" w:rsidRPr="004A2916" w:rsidRDefault="004A2916" w:rsidP="00A17644">
      <w:pPr>
        <w:spacing w:after="120" w:line="260" w:lineRule="atLeast"/>
        <w:jc w:val="both"/>
        <w:rPr>
          <w:rFonts w:ascii="Arial" w:eastAsiaTheme="minorHAnsi" w:hAnsi="Arial" w:cstheme="minorBidi"/>
          <w:sz w:val="20"/>
          <w:szCs w:val="24"/>
          <w:lang w:val="en-US" w:eastAsia="en-US"/>
        </w:rPr>
      </w:pPr>
    </w:p>
    <w:p w14:paraId="0AB7A822" w14:textId="75969E53" w:rsidR="00CD413B" w:rsidRPr="009829B5" w:rsidRDefault="009829B5" w:rsidP="009829B5">
      <w:pPr>
        <w:pStyle w:val="Prrafodelista"/>
        <w:numPr>
          <w:ilvl w:val="0"/>
          <w:numId w:val="10"/>
        </w:numPr>
        <w:rPr>
          <w:rFonts w:ascii="Arial" w:eastAsiaTheme="minorHAnsi" w:hAnsi="Arial" w:cstheme="minorBidi"/>
          <w:b/>
          <w:sz w:val="20"/>
          <w:szCs w:val="24"/>
          <w:lang w:val="en-GB" w:eastAsia="en-US"/>
        </w:rPr>
      </w:pPr>
      <w:r w:rsidRPr="009829B5">
        <w:rPr>
          <w:rFonts w:ascii="Arial" w:eastAsiaTheme="minorHAnsi" w:hAnsi="Arial" w:cstheme="minorBidi"/>
          <w:b/>
          <w:sz w:val="20"/>
          <w:szCs w:val="24"/>
          <w:lang w:val="en-GB" w:eastAsia="en-US"/>
        </w:rPr>
        <w:t>Short summary of discussion and outlook to agenda for day 2</w:t>
      </w:r>
    </w:p>
    <w:p w14:paraId="593E861A" w14:textId="04467537" w:rsidR="004466E9" w:rsidRDefault="00B84EAB" w:rsidP="00A17644">
      <w:pPr>
        <w:spacing w:after="120" w:line="260" w:lineRule="atLeast"/>
        <w:jc w:val="both"/>
        <w:rPr>
          <w:rFonts w:ascii="Arial" w:eastAsiaTheme="minorHAnsi" w:hAnsi="Arial" w:cstheme="minorBidi"/>
          <w:sz w:val="20"/>
          <w:szCs w:val="24"/>
          <w:lang w:val="en-GB" w:eastAsia="en-US"/>
        </w:rPr>
      </w:pPr>
      <w:r w:rsidRPr="00B84EAB">
        <w:rPr>
          <w:rFonts w:ascii="Arial" w:eastAsiaTheme="minorHAnsi" w:hAnsi="Arial" w:cstheme="minorBidi"/>
          <w:sz w:val="20"/>
          <w:szCs w:val="24"/>
          <w:lang w:val="en-GB" w:eastAsia="en-US"/>
        </w:rPr>
        <w:lastRenderedPageBreak/>
        <w:t xml:space="preserve">The </w:t>
      </w:r>
      <w:r w:rsidR="009829B5">
        <w:rPr>
          <w:rFonts w:ascii="Arial" w:eastAsiaTheme="minorHAnsi" w:hAnsi="Arial" w:cstheme="minorBidi"/>
          <w:sz w:val="20"/>
          <w:szCs w:val="24"/>
          <w:lang w:val="en-GB" w:eastAsia="en-US"/>
        </w:rPr>
        <w:t>main aspects of the group discussion were highlighted and wrapped up to be addressed during the second part of the meeting.</w:t>
      </w:r>
      <w:r w:rsidR="00EE7E30">
        <w:rPr>
          <w:rFonts w:ascii="Arial" w:eastAsiaTheme="minorHAnsi" w:hAnsi="Arial" w:cstheme="minorBidi"/>
          <w:sz w:val="20"/>
          <w:szCs w:val="24"/>
          <w:lang w:val="en-GB" w:eastAsia="en-US"/>
        </w:rPr>
        <w:t xml:space="preserve"> The following questions types are set:</w:t>
      </w:r>
    </w:p>
    <w:p w14:paraId="71C3CC8E" w14:textId="77777777" w:rsidR="00EE7E30" w:rsidRPr="00EE7E30" w:rsidRDefault="00EE7E30" w:rsidP="00EE7E30">
      <w:pPr>
        <w:pStyle w:val="Prrafodelista"/>
        <w:numPr>
          <w:ilvl w:val="0"/>
          <w:numId w:val="38"/>
        </w:numPr>
        <w:spacing w:after="120" w:line="260" w:lineRule="atLeast"/>
        <w:jc w:val="both"/>
        <w:rPr>
          <w:rFonts w:ascii="Arial" w:eastAsiaTheme="minorHAnsi" w:hAnsi="Arial" w:cstheme="minorBidi"/>
          <w:sz w:val="20"/>
          <w:szCs w:val="24"/>
          <w:lang w:val="en-GB" w:eastAsia="en-US"/>
        </w:rPr>
      </w:pPr>
      <w:r w:rsidRPr="00EE7E30">
        <w:rPr>
          <w:rFonts w:ascii="Arial" w:eastAsiaTheme="minorHAnsi" w:hAnsi="Arial" w:cstheme="minorBidi"/>
          <w:sz w:val="20"/>
          <w:szCs w:val="24"/>
          <w:lang w:val="en-GB" w:eastAsia="en-US"/>
        </w:rPr>
        <w:t>Questions on temporary ponds</w:t>
      </w:r>
    </w:p>
    <w:p w14:paraId="4CB3E396" w14:textId="50333AC7" w:rsidR="00EE7E30" w:rsidRPr="00EE7E30" w:rsidRDefault="00EE7E30" w:rsidP="00EE7E30">
      <w:pPr>
        <w:pStyle w:val="Prrafodelista"/>
        <w:numPr>
          <w:ilvl w:val="0"/>
          <w:numId w:val="38"/>
        </w:numPr>
        <w:spacing w:after="120" w:line="260" w:lineRule="atLeast"/>
        <w:jc w:val="both"/>
        <w:rPr>
          <w:rFonts w:ascii="Arial" w:eastAsiaTheme="minorHAnsi" w:hAnsi="Arial" w:cstheme="minorBidi"/>
          <w:sz w:val="20"/>
          <w:szCs w:val="24"/>
          <w:lang w:val="en-GB" w:eastAsia="en-US"/>
        </w:rPr>
      </w:pPr>
      <w:r w:rsidRPr="00EE7E30">
        <w:rPr>
          <w:rFonts w:ascii="Arial" w:eastAsiaTheme="minorHAnsi" w:hAnsi="Arial" w:cstheme="minorBidi"/>
          <w:sz w:val="20"/>
          <w:szCs w:val="24"/>
          <w:lang w:val="en-GB" w:eastAsia="en-US"/>
        </w:rPr>
        <w:t>Questions on databases, probably not much on hydrological/physical/chemical parameters? Maybe European Pond Conservation Network or Ponderful has useful information?</w:t>
      </w:r>
    </w:p>
    <w:p w14:paraId="327318BF" w14:textId="77777777" w:rsidR="00C248EC" w:rsidRDefault="00C248EC" w:rsidP="00A17644">
      <w:pPr>
        <w:spacing w:after="120" w:line="260" w:lineRule="atLeast"/>
        <w:jc w:val="both"/>
        <w:rPr>
          <w:rFonts w:ascii="Arial" w:eastAsiaTheme="minorHAnsi" w:hAnsi="Arial" w:cstheme="minorBidi"/>
          <w:sz w:val="20"/>
          <w:szCs w:val="24"/>
          <w:lang w:val="en-GB" w:eastAsia="en-US"/>
        </w:rPr>
      </w:pPr>
    </w:p>
    <w:p w14:paraId="4EAB6DE2" w14:textId="66884802" w:rsidR="00CF6C48" w:rsidRPr="00625267" w:rsidRDefault="00625267" w:rsidP="00625267">
      <w:pPr>
        <w:pStyle w:val="Prrafodelista"/>
        <w:numPr>
          <w:ilvl w:val="0"/>
          <w:numId w:val="10"/>
        </w:numPr>
        <w:rPr>
          <w:rFonts w:ascii="Arial" w:eastAsiaTheme="minorHAnsi" w:hAnsi="Arial" w:cstheme="minorBidi"/>
          <w:b/>
          <w:sz w:val="20"/>
          <w:szCs w:val="24"/>
          <w:lang w:val="en-GB" w:eastAsia="en-US"/>
        </w:rPr>
      </w:pPr>
      <w:r w:rsidRPr="00625267">
        <w:rPr>
          <w:rFonts w:ascii="Arial" w:eastAsiaTheme="minorHAnsi" w:hAnsi="Arial" w:cstheme="minorBidi"/>
          <w:b/>
          <w:sz w:val="20"/>
          <w:szCs w:val="24"/>
          <w:lang w:val="en-GB" w:eastAsia="en-US"/>
        </w:rPr>
        <w:t>Summary and conclusions of day 1</w:t>
      </w:r>
    </w:p>
    <w:p w14:paraId="786E23C1" w14:textId="644C9E92" w:rsidR="00625267" w:rsidRDefault="00625267" w:rsidP="00B57863">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After welcoming participants to the second meeting day, the conclusions from day 1 are revisited and the objectives for day 2 presented.</w:t>
      </w:r>
    </w:p>
    <w:p w14:paraId="6A6C2299" w14:textId="77777777" w:rsidR="00100F71" w:rsidRDefault="00100F71" w:rsidP="00B57863">
      <w:pPr>
        <w:spacing w:after="120" w:line="260" w:lineRule="atLeast"/>
        <w:jc w:val="both"/>
        <w:rPr>
          <w:rFonts w:ascii="Arial" w:eastAsiaTheme="minorHAnsi" w:hAnsi="Arial" w:cstheme="minorBidi"/>
          <w:sz w:val="20"/>
          <w:szCs w:val="24"/>
          <w:lang w:val="en-GB" w:eastAsia="en-US"/>
        </w:rPr>
      </w:pPr>
    </w:p>
    <w:p w14:paraId="19759AD6" w14:textId="175C758A" w:rsidR="00F0798B" w:rsidRDefault="00F0798B" w:rsidP="00F0798B">
      <w:pPr>
        <w:pStyle w:val="Prrafodelista"/>
        <w:numPr>
          <w:ilvl w:val="0"/>
          <w:numId w:val="10"/>
        </w:numPr>
        <w:rPr>
          <w:rFonts w:ascii="Arial" w:eastAsiaTheme="minorHAnsi" w:hAnsi="Arial" w:cstheme="minorBidi"/>
          <w:b/>
          <w:sz w:val="20"/>
          <w:szCs w:val="24"/>
          <w:lang w:val="en-GB" w:eastAsia="en-US"/>
        </w:rPr>
      </w:pPr>
      <w:r w:rsidRPr="00F0798B">
        <w:rPr>
          <w:rFonts w:ascii="Arial" w:eastAsiaTheme="minorHAnsi" w:hAnsi="Arial" w:cstheme="minorBidi"/>
          <w:b/>
          <w:sz w:val="20"/>
          <w:szCs w:val="24"/>
          <w:lang w:val="en-GB" w:eastAsia="en-US"/>
        </w:rPr>
        <w:t>Remaining questions on temporary pond characteristics and requirements for TOXSWA model</w:t>
      </w:r>
    </w:p>
    <w:p w14:paraId="309E3EB5" w14:textId="51D7F130" w:rsidR="001341AC" w:rsidRPr="00100F71" w:rsidRDefault="001341AC" w:rsidP="00100F71">
      <w:pPr>
        <w:jc w:val="both"/>
        <w:rPr>
          <w:rFonts w:ascii="Arial" w:hAnsi="Arial" w:cs="Arial"/>
          <w:sz w:val="20"/>
          <w:szCs w:val="20"/>
          <w:lang w:val="en-US"/>
        </w:rPr>
      </w:pPr>
      <w:r w:rsidRPr="000E3DE5">
        <w:rPr>
          <w:rFonts w:ascii="Arial" w:hAnsi="Arial" w:cs="Arial"/>
          <w:sz w:val="20"/>
          <w:szCs w:val="20"/>
          <w:lang w:val="en-US"/>
        </w:rPr>
        <w:t>Characteristics of amphibian ponds were discussed in order to get to know the requirements for the simulation model for the fate and behaviour of the pesticide in the amphibian breeding pond.</w:t>
      </w:r>
    </w:p>
    <w:p w14:paraId="41D862AC" w14:textId="77777777" w:rsidR="001341AC" w:rsidRPr="00100F71" w:rsidRDefault="001341AC" w:rsidP="000E3DE5">
      <w:pPr>
        <w:spacing w:after="0"/>
        <w:jc w:val="both"/>
        <w:rPr>
          <w:rFonts w:ascii="Arial" w:hAnsi="Arial" w:cs="Arial"/>
          <w:sz w:val="20"/>
          <w:szCs w:val="20"/>
          <w:u w:val="single"/>
          <w:lang w:val="en-US"/>
        </w:rPr>
      </w:pPr>
      <w:r w:rsidRPr="00100F71">
        <w:rPr>
          <w:rFonts w:ascii="Arial" w:hAnsi="Arial" w:cs="Arial"/>
          <w:sz w:val="20"/>
          <w:szCs w:val="20"/>
          <w:u w:val="single"/>
          <w:lang w:val="en-US"/>
        </w:rPr>
        <w:t>Temporary ponds</w:t>
      </w:r>
    </w:p>
    <w:p w14:paraId="254E2DD0" w14:textId="77777777" w:rsidR="001341AC" w:rsidRPr="000E3DE5" w:rsidRDefault="001341AC" w:rsidP="000E3DE5">
      <w:pPr>
        <w:spacing w:after="0"/>
        <w:jc w:val="both"/>
        <w:rPr>
          <w:rFonts w:ascii="Arial" w:hAnsi="Arial" w:cs="Arial"/>
          <w:b/>
          <w:bCs/>
          <w:sz w:val="20"/>
          <w:szCs w:val="20"/>
          <w:lang w:val="en-US"/>
        </w:rPr>
      </w:pPr>
    </w:p>
    <w:p w14:paraId="4340496C" w14:textId="77777777" w:rsidR="001341AC" w:rsidRPr="000E3DE5" w:rsidRDefault="001341AC" w:rsidP="000E3DE5">
      <w:pPr>
        <w:spacing w:after="0"/>
        <w:jc w:val="both"/>
        <w:rPr>
          <w:rFonts w:ascii="Arial" w:hAnsi="Arial" w:cs="Arial"/>
          <w:i/>
          <w:iCs/>
          <w:sz w:val="20"/>
          <w:szCs w:val="20"/>
          <w:lang w:val="en-US"/>
        </w:rPr>
      </w:pPr>
      <w:r w:rsidRPr="000E3DE5">
        <w:rPr>
          <w:rFonts w:ascii="Arial" w:hAnsi="Arial" w:cs="Arial"/>
          <w:i/>
          <w:iCs/>
          <w:sz w:val="20"/>
          <w:szCs w:val="20"/>
          <w:lang w:val="en-US"/>
        </w:rPr>
        <w:t>Definition of temporary pond:</w:t>
      </w:r>
    </w:p>
    <w:p w14:paraId="144D8B4E" w14:textId="77777777" w:rsidR="001341AC" w:rsidRPr="000E3DE5" w:rsidRDefault="001341AC" w:rsidP="000E3DE5">
      <w:pPr>
        <w:spacing w:after="0"/>
        <w:jc w:val="both"/>
        <w:rPr>
          <w:rFonts w:ascii="Arial" w:hAnsi="Arial" w:cs="Arial"/>
          <w:sz w:val="20"/>
          <w:szCs w:val="20"/>
          <w:lang w:val="en-GB"/>
        </w:rPr>
      </w:pPr>
      <w:r w:rsidRPr="000E3DE5">
        <w:rPr>
          <w:rFonts w:ascii="Arial" w:hAnsi="Arial" w:cs="Arial"/>
          <w:sz w:val="20"/>
          <w:szCs w:val="20"/>
          <w:lang w:val="en-GB"/>
        </w:rPr>
        <w:t xml:space="preserve">Ponds which have a predictable annual dry phase, usually in the order of 3 – 8 months, predominantly during summer and autumn (J.V. Ward, 1992. Aquatic insect ecology. 1. Biology and habitat. John Wiley, New York). </w:t>
      </w:r>
    </w:p>
    <w:p w14:paraId="7DE5E55B" w14:textId="77777777" w:rsidR="001341AC" w:rsidRPr="000E3DE5" w:rsidRDefault="001341AC" w:rsidP="000E3DE5">
      <w:pPr>
        <w:spacing w:after="0"/>
        <w:jc w:val="both"/>
        <w:rPr>
          <w:rFonts w:ascii="Arial" w:hAnsi="Arial" w:cs="Arial"/>
          <w:sz w:val="20"/>
          <w:szCs w:val="20"/>
          <w:lang w:val="en-GB"/>
        </w:rPr>
      </w:pPr>
    </w:p>
    <w:p w14:paraId="779CD2D6" w14:textId="77777777" w:rsidR="001341AC" w:rsidRPr="000E3DE5" w:rsidRDefault="001341AC" w:rsidP="000E3DE5">
      <w:pPr>
        <w:spacing w:after="0"/>
        <w:jc w:val="both"/>
        <w:rPr>
          <w:rFonts w:ascii="Arial" w:hAnsi="Arial" w:cs="Arial"/>
          <w:sz w:val="20"/>
          <w:szCs w:val="20"/>
          <w:lang w:val="en-GB"/>
        </w:rPr>
      </w:pPr>
      <w:r w:rsidRPr="000E3DE5">
        <w:rPr>
          <w:rFonts w:ascii="Arial" w:hAnsi="Arial" w:cs="Arial"/>
          <w:sz w:val="20"/>
          <w:szCs w:val="20"/>
          <w:lang w:val="en-GB"/>
        </w:rPr>
        <w:t xml:space="preserve">The dry phase is </w:t>
      </w:r>
      <w:r w:rsidRPr="000E3DE5">
        <w:rPr>
          <w:rFonts w:ascii="Arial" w:hAnsi="Arial" w:cs="Arial"/>
          <w:sz w:val="20"/>
          <w:szCs w:val="20"/>
          <w:u w:val="single"/>
          <w:lang w:val="en-GB"/>
        </w:rPr>
        <w:t>unpredictable</w:t>
      </w:r>
      <w:r w:rsidRPr="000E3DE5">
        <w:rPr>
          <w:rFonts w:ascii="Arial" w:hAnsi="Arial" w:cs="Arial"/>
          <w:sz w:val="20"/>
          <w:szCs w:val="20"/>
          <w:lang w:val="en-GB"/>
        </w:rPr>
        <w:t>. In South Europe a temporary pond can be dry for 5-8 years and next carry water all year round for several years in a row, depending on rainfall. . So temporary ponds may be ponds that dry up every year in summer, or have a more unpredictable behaviour as e.g. the one described above, or e.g. only dry up once every 5 years.</w:t>
      </w:r>
    </w:p>
    <w:p w14:paraId="56514278" w14:textId="77777777" w:rsidR="001341AC" w:rsidRPr="000E3DE5" w:rsidRDefault="001341AC" w:rsidP="000E3DE5">
      <w:pPr>
        <w:spacing w:after="0"/>
        <w:jc w:val="both"/>
        <w:rPr>
          <w:rFonts w:ascii="Arial" w:hAnsi="Arial" w:cs="Arial"/>
          <w:sz w:val="20"/>
          <w:szCs w:val="20"/>
          <w:lang w:val="en-GB"/>
        </w:rPr>
      </w:pPr>
    </w:p>
    <w:p w14:paraId="066FD0A3" w14:textId="77777777" w:rsidR="001341AC" w:rsidRPr="000E3DE5" w:rsidRDefault="001341AC" w:rsidP="000E3DE5">
      <w:pPr>
        <w:spacing w:after="0"/>
        <w:jc w:val="both"/>
        <w:rPr>
          <w:rFonts w:ascii="Arial" w:hAnsi="Arial" w:cs="Arial"/>
          <w:noProof/>
          <w:sz w:val="20"/>
          <w:szCs w:val="20"/>
          <w:lang w:val="en-GB"/>
        </w:rPr>
      </w:pPr>
      <w:r w:rsidRPr="000E3DE5">
        <w:rPr>
          <w:rFonts w:ascii="Arial" w:hAnsi="Arial" w:cs="Arial"/>
          <w:sz w:val="20"/>
          <w:szCs w:val="20"/>
          <w:lang w:val="en-GB"/>
        </w:rPr>
        <w:t xml:space="preserve">Is every amphibian pond an amphibian </w:t>
      </w:r>
      <w:r w:rsidRPr="000E3DE5">
        <w:rPr>
          <w:rFonts w:ascii="Arial" w:hAnsi="Arial" w:cs="Arial"/>
          <w:sz w:val="20"/>
          <w:szCs w:val="20"/>
          <w:u w:val="single"/>
          <w:lang w:val="en-GB"/>
        </w:rPr>
        <w:t>breeding</w:t>
      </w:r>
      <w:r w:rsidRPr="000E3DE5">
        <w:rPr>
          <w:rFonts w:ascii="Arial" w:hAnsi="Arial" w:cs="Arial"/>
          <w:sz w:val="20"/>
          <w:szCs w:val="20"/>
          <w:lang w:val="en-GB"/>
        </w:rPr>
        <w:t xml:space="preserve"> pond</w:t>
      </w:r>
      <w:r w:rsidRPr="000E3DE5">
        <w:rPr>
          <w:rFonts w:ascii="Arial" w:hAnsi="Arial" w:cs="Arial"/>
          <w:noProof/>
          <w:sz w:val="20"/>
          <w:szCs w:val="20"/>
          <w:lang w:val="en-GB"/>
        </w:rPr>
        <w:t>: in general yes.</w:t>
      </w:r>
    </w:p>
    <w:p w14:paraId="0AA3A4EE" w14:textId="77777777" w:rsidR="001341AC" w:rsidRPr="000E3DE5" w:rsidRDefault="001341AC" w:rsidP="000E3DE5">
      <w:pPr>
        <w:spacing w:after="0"/>
        <w:jc w:val="both"/>
        <w:rPr>
          <w:rFonts w:ascii="Arial" w:hAnsi="Arial" w:cs="Arial"/>
          <w:sz w:val="20"/>
          <w:szCs w:val="20"/>
          <w:lang w:val="en-GB"/>
        </w:rPr>
      </w:pPr>
    </w:p>
    <w:p w14:paraId="42FAFC47" w14:textId="77777777" w:rsidR="001341AC" w:rsidRPr="000E3DE5" w:rsidRDefault="001341AC" w:rsidP="000E3DE5">
      <w:pPr>
        <w:spacing w:after="0"/>
        <w:jc w:val="both"/>
        <w:rPr>
          <w:rFonts w:ascii="Arial" w:hAnsi="Arial" w:cs="Arial"/>
          <w:sz w:val="20"/>
          <w:szCs w:val="20"/>
          <w:lang w:val="en-US"/>
        </w:rPr>
      </w:pPr>
      <w:r w:rsidRPr="000E3DE5">
        <w:rPr>
          <w:rFonts w:ascii="Arial" w:hAnsi="Arial" w:cs="Arial"/>
          <w:i/>
          <w:iCs/>
          <w:sz w:val="20"/>
          <w:szCs w:val="20"/>
          <w:lang w:val="en-US"/>
        </w:rPr>
        <w:t xml:space="preserve">Depth, water surface area: </w:t>
      </w:r>
      <w:r w:rsidRPr="000E3DE5">
        <w:rPr>
          <w:rFonts w:ascii="Arial" w:hAnsi="Arial" w:cs="Arial"/>
          <w:i/>
          <w:iCs/>
          <w:sz w:val="20"/>
          <w:szCs w:val="20"/>
          <w:lang w:val="en-US"/>
        </w:rPr>
        <w:br/>
      </w:r>
      <w:r w:rsidRPr="000E3DE5">
        <w:rPr>
          <w:rFonts w:ascii="Arial" w:hAnsi="Arial" w:cs="Arial"/>
          <w:sz w:val="20"/>
          <w:szCs w:val="20"/>
          <w:lang w:val="en-US"/>
        </w:rPr>
        <w:t>A few centimeters is minimum.</w:t>
      </w:r>
    </w:p>
    <w:p w14:paraId="31AD0403" w14:textId="77777777" w:rsidR="001341AC" w:rsidRPr="000E3DE5" w:rsidRDefault="001341AC" w:rsidP="000E3DE5">
      <w:pPr>
        <w:jc w:val="both"/>
        <w:rPr>
          <w:rFonts w:ascii="Arial" w:hAnsi="Arial" w:cs="Arial"/>
          <w:sz w:val="20"/>
          <w:szCs w:val="20"/>
          <w:lang w:val="en-US"/>
        </w:rPr>
      </w:pPr>
      <w:r w:rsidRPr="000E3DE5">
        <w:rPr>
          <w:rFonts w:ascii="Arial" w:hAnsi="Arial" w:cs="Arial"/>
          <w:sz w:val="20"/>
          <w:szCs w:val="20"/>
          <w:lang w:val="en-US"/>
        </w:rPr>
        <w:t>In the UK the minimum water surface area for a temporary pond is  taken 1 m</w:t>
      </w:r>
      <w:r w:rsidRPr="000E3DE5">
        <w:rPr>
          <w:rFonts w:ascii="Arial" w:hAnsi="Arial" w:cs="Arial"/>
          <w:sz w:val="20"/>
          <w:szCs w:val="20"/>
          <w:vertAlign w:val="superscript"/>
          <w:lang w:val="en-US"/>
        </w:rPr>
        <w:t>2</w:t>
      </w:r>
      <w:r w:rsidRPr="000E3DE5">
        <w:rPr>
          <w:rFonts w:ascii="Arial" w:hAnsi="Arial" w:cs="Arial"/>
          <w:sz w:val="20"/>
          <w:szCs w:val="20"/>
          <w:lang w:val="en-US"/>
        </w:rPr>
        <w:t>.</w:t>
      </w:r>
    </w:p>
    <w:p w14:paraId="557FC739" w14:textId="77777777" w:rsidR="001341AC" w:rsidRPr="000E3DE5" w:rsidRDefault="001341AC" w:rsidP="000E3DE5">
      <w:pPr>
        <w:jc w:val="both"/>
        <w:rPr>
          <w:rFonts w:ascii="Arial" w:hAnsi="Arial" w:cs="Arial"/>
          <w:sz w:val="20"/>
          <w:szCs w:val="20"/>
          <w:lang w:val="en-US"/>
        </w:rPr>
      </w:pPr>
      <w:r w:rsidRPr="000E3DE5">
        <w:rPr>
          <w:rFonts w:ascii="Arial" w:hAnsi="Arial" w:cs="Arial"/>
          <w:i/>
          <w:iCs/>
          <w:sz w:val="20"/>
          <w:szCs w:val="20"/>
          <w:lang w:val="en-US"/>
        </w:rPr>
        <w:t>Which period water should be present to allow for amphibians to fully develop:</w:t>
      </w:r>
      <w:r w:rsidRPr="000E3DE5">
        <w:rPr>
          <w:rFonts w:ascii="Arial" w:hAnsi="Arial" w:cs="Arial"/>
          <w:i/>
          <w:iCs/>
          <w:sz w:val="20"/>
          <w:szCs w:val="20"/>
          <w:lang w:val="en-US"/>
        </w:rPr>
        <w:br/>
      </w:r>
      <w:r w:rsidRPr="000E3DE5">
        <w:rPr>
          <w:rFonts w:ascii="Arial" w:hAnsi="Arial" w:cs="Arial"/>
          <w:sz w:val="20"/>
          <w:szCs w:val="20"/>
          <w:lang w:val="en-US"/>
        </w:rPr>
        <w:t>The minimum period is 2 weeks. In general it is 2 months, that allows for a good reproductive success. Some species are very elastic, i.e. they can speed up their metamorphosis when the pond is desiccating.</w:t>
      </w:r>
    </w:p>
    <w:p w14:paraId="220AB146" w14:textId="77777777" w:rsidR="001341AC" w:rsidRPr="000E3DE5" w:rsidRDefault="001341AC" w:rsidP="000E3DE5">
      <w:pPr>
        <w:spacing w:after="0"/>
        <w:jc w:val="both"/>
        <w:rPr>
          <w:rFonts w:ascii="Arial" w:hAnsi="Arial" w:cs="Arial"/>
          <w:sz w:val="20"/>
          <w:szCs w:val="20"/>
          <w:lang w:val="en-US"/>
        </w:rPr>
      </w:pPr>
      <w:r w:rsidRPr="000E3DE5">
        <w:rPr>
          <w:rFonts w:ascii="Arial" w:hAnsi="Arial" w:cs="Arial"/>
          <w:sz w:val="20"/>
          <w:szCs w:val="20"/>
          <w:lang w:val="en-US"/>
        </w:rPr>
        <w:t>In Spain ponds can be present from February, but can also be present from November onwards only, because before the ponds were dry. In the latter case amphibians can only breed from Nov onwards</w:t>
      </w:r>
    </w:p>
    <w:p w14:paraId="0F3F7C8F" w14:textId="77777777" w:rsidR="001341AC" w:rsidRPr="000E3DE5" w:rsidRDefault="001341AC" w:rsidP="000E3DE5">
      <w:pPr>
        <w:jc w:val="both"/>
        <w:rPr>
          <w:rFonts w:ascii="Arial" w:hAnsi="Arial" w:cs="Arial"/>
          <w:sz w:val="20"/>
          <w:szCs w:val="20"/>
          <w:lang w:val="en-US"/>
        </w:rPr>
      </w:pPr>
      <w:r w:rsidRPr="000E3DE5">
        <w:rPr>
          <w:rFonts w:ascii="Arial" w:hAnsi="Arial" w:cs="Arial"/>
          <w:sz w:val="20"/>
          <w:szCs w:val="20"/>
          <w:lang w:val="en-US"/>
        </w:rPr>
        <w:t>With climate change in UK and Switzerland ponds can present and used for breeding also from February.</w:t>
      </w:r>
    </w:p>
    <w:p w14:paraId="119A4149" w14:textId="77777777" w:rsidR="001341AC" w:rsidRPr="000E3DE5" w:rsidRDefault="001341AC" w:rsidP="000E3DE5">
      <w:pPr>
        <w:jc w:val="both"/>
        <w:rPr>
          <w:rFonts w:ascii="Arial" w:hAnsi="Arial" w:cs="Arial"/>
          <w:sz w:val="20"/>
          <w:szCs w:val="20"/>
          <w:lang w:val="en-US"/>
        </w:rPr>
      </w:pPr>
      <w:r w:rsidRPr="000E3DE5">
        <w:rPr>
          <w:rFonts w:ascii="Arial" w:hAnsi="Arial" w:cs="Arial"/>
          <w:sz w:val="20"/>
          <w:szCs w:val="20"/>
          <w:lang w:val="en-US"/>
        </w:rPr>
        <w:t>The ponds are present in general in the Spring period, which is from February onwards in South, and March to May in Central Europe. General breeding season is early spring</w:t>
      </w:r>
    </w:p>
    <w:p w14:paraId="65C73DFF" w14:textId="15BD2ACB" w:rsidR="001341AC" w:rsidRPr="000E3DE5" w:rsidRDefault="001341AC" w:rsidP="000E3DE5">
      <w:pPr>
        <w:jc w:val="both"/>
        <w:rPr>
          <w:rFonts w:ascii="Arial" w:hAnsi="Arial" w:cs="Arial"/>
          <w:sz w:val="20"/>
          <w:szCs w:val="20"/>
          <w:lang w:val="en-US"/>
        </w:rPr>
      </w:pPr>
      <w:r w:rsidRPr="000E3DE5">
        <w:rPr>
          <w:rFonts w:ascii="Arial" w:hAnsi="Arial" w:cs="Arial"/>
          <w:i/>
          <w:iCs/>
          <w:sz w:val="20"/>
          <w:szCs w:val="20"/>
          <w:lang w:val="en-US"/>
        </w:rPr>
        <w:t>Pel</w:t>
      </w:r>
      <w:r w:rsidR="000E3DE5" w:rsidRPr="000E3DE5">
        <w:rPr>
          <w:rFonts w:ascii="Arial" w:hAnsi="Arial" w:cs="Arial"/>
          <w:i/>
          <w:iCs/>
          <w:sz w:val="20"/>
          <w:szCs w:val="20"/>
          <w:lang w:val="en-US"/>
        </w:rPr>
        <w:t>o</w:t>
      </w:r>
      <w:r w:rsidRPr="000E3DE5">
        <w:rPr>
          <w:rFonts w:ascii="Arial" w:hAnsi="Arial" w:cs="Arial"/>
          <w:i/>
          <w:iCs/>
          <w:sz w:val="20"/>
          <w:szCs w:val="20"/>
          <w:lang w:val="en-US"/>
        </w:rPr>
        <w:t>phylax</w:t>
      </w:r>
      <w:r w:rsidRPr="000E3DE5">
        <w:rPr>
          <w:rFonts w:ascii="Arial" w:hAnsi="Arial" w:cs="Arial"/>
          <w:sz w:val="20"/>
          <w:szCs w:val="20"/>
          <w:lang w:val="en-US"/>
        </w:rPr>
        <w:t xml:space="preserve"> are breeding in Porto beginning of April, and in Switzerland in April-July.</w:t>
      </w:r>
    </w:p>
    <w:p w14:paraId="27A24D7C" w14:textId="77777777" w:rsidR="001341AC" w:rsidRPr="000E3DE5" w:rsidRDefault="001341AC" w:rsidP="000E3DE5">
      <w:pPr>
        <w:jc w:val="both"/>
        <w:rPr>
          <w:rFonts w:ascii="Arial" w:hAnsi="Arial" w:cs="Arial"/>
          <w:sz w:val="20"/>
          <w:szCs w:val="20"/>
          <w:lang w:val="en-US"/>
        </w:rPr>
      </w:pPr>
      <w:r w:rsidRPr="000E3DE5">
        <w:rPr>
          <w:rFonts w:ascii="Arial" w:hAnsi="Arial" w:cs="Arial"/>
          <w:sz w:val="20"/>
          <w:szCs w:val="20"/>
          <w:lang w:val="en-US"/>
        </w:rPr>
        <w:lastRenderedPageBreak/>
        <w:t>There is not an operational rule that the development period of amhibians can be described with a rule based on the sum of temperature and number of days  (SUM(T x day)).</w:t>
      </w:r>
    </w:p>
    <w:p w14:paraId="18834C77" w14:textId="77777777" w:rsidR="001341AC" w:rsidRPr="000E3DE5" w:rsidRDefault="001341AC" w:rsidP="000E3DE5">
      <w:pPr>
        <w:spacing w:after="0"/>
        <w:jc w:val="both"/>
        <w:rPr>
          <w:rFonts w:ascii="Arial" w:hAnsi="Arial" w:cs="Arial"/>
          <w:i/>
          <w:iCs/>
          <w:sz w:val="20"/>
          <w:szCs w:val="20"/>
          <w:lang w:val="en-US"/>
        </w:rPr>
      </w:pPr>
      <w:r w:rsidRPr="000E3DE5">
        <w:rPr>
          <w:rFonts w:ascii="Arial" w:hAnsi="Arial" w:cs="Arial"/>
          <w:i/>
          <w:iCs/>
          <w:sz w:val="20"/>
          <w:szCs w:val="20"/>
          <w:lang w:val="en-US"/>
        </w:rPr>
        <w:t>Vegetation in and around temporary ponds</w:t>
      </w:r>
    </w:p>
    <w:p w14:paraId="00193079" w14:textId="77777777" w:rsidR="001341AC" w:rsidRPr="000E3DE5" w:rsidRDefault="001341AC" w:rsidP="000E3DE5">
      <w:pPr>
        <w:jc w:val="both"/>
        <w:rPr>
          <w:rFonts w:ascii="Arial" w:hAnsi="Arial" w:cs="Arial"/>
          <w:sz w:val="20"/>
          <w:szCs w:val="20"/>
          <w:lang w:val="en-US"/>
        </w:rPr>
      </w:pPr>
      <w:r w:rsidRPr="000E3DE5">
        <w:rPr>
          <w:rFonts w:ascii="Arial" w:hAnsi="Arial" w:cs="Arial"/>
          <w:sz w:val="20"/>
          <w:szCs w:val="20"/>
          <w:lang w:val="en-US"/>
        </w:rPr>
        <w:t>No vegetation in general in temporary</w:t>
      </w:r>
      <w:r w:rsidRPr="000E3DE5">
        <w:rPr>
          <w:rFonts w:ascii="Arial" w:hAnsi="Arial" w:cs="Arial"/>
          <w:i/>
          <w:iCs/>
          <w:sz w:val="20"/>
          <w:szCs w:val="20"/>
          <w:lang w:val="en-US"/>
        </w:rPr>
        <w:t xml:space="preserve"> </w:t>
      </w:r>
      <w:r w:rsidRPr="000E3DE5">
        <w:rPr>
          <w:rFonts w:ascii="Arial" w:hAnsi="Arial" w:cs="Arial"/>
          <w:sz w:val="20"/>
          <w:szCs w:val="20"/>
          <w:lang w:val="en-US"/>
        </w:rPr>
        <w:t>ponds, except of e.g. flooded meadows.</w:t>
      </w:r>
    </w:p>
    <w:p w14:paraId="6165511F" w14:textId="77777777" w:rsidR="001341AC" w:rsidRPr="000E3DE5" w:rsidRDefault="001341AC" w:rsidP="000E3DE5">
      <w:pPr>
        <w:jc w:val="both"/>
        <w:rPr>
          <w:rFonts w:ascii="Arial" w:hAnsi="Arial" w:cs="Arial"/>
          <w:i/>
          <w:iCs/>
          <w:sz w:val="20"/>
          <w:szCs w:val="20"/>
          <w:lang w:val="en-US"/>
        </w:rPr>
      </w:pPr>
      <w:r w:rsidRPr="000E3DE5">
        <w:rPr>
          <w:rFonts w:ascii="Arial" w:hAnsi="Arial" w:cs="Arial"/>
          <w:i/>
          <w:iCs/>
          <w:sz w:val="20"/>
          <w:szCs w:val="20"/>
          <w:lang w:val="en-US"/>
        </w:rPr>
        <w:t>Question of WENR for data of field study in which water balance was measured regularly to validate hydrology TOXSWA</w:t>
      </w:r>
    </w:p>
    <w:p w14:paraId="06E5F0D4" w14:textId="77777777" w:rsidR="001341AC" w:rsidRPr="000E3DE5" w:rsidRDefault="001341AC" w:rsidP="000E3DE5">
      <w:pPr>
        <w:jc w:val="both"/>
        <w:rPr>
          <w:rFonts w:ascii="Arial" w:hAnsi="Arial" w:cs="Arial"/>
          <w:sz w:val="20"/>
          <w:szCs w:val="20"/>
          <w:lang w:val="en-US"/>
        </w:rPr>
      </w:pPr>
      <w:r w:rsidRPr="000E3DE5">
        <w:rPr>
          <w:rFonts w:ascii="Arial" w:hAnsi="Arial" w:cs="Arial"/>
          <w:sz w:val="20"/>
          <w:szCs w:val="20"/>
          <w:lang w:val="en-US"/>
        </w:rPr>
        <w:t>Some data are available for a vernal pond in North-America/USA (D.D. Williams. 2006. The biology of temporary waters. Oxford University Press). Data may also be obtained via the European Biodiversity Conservation Network.</w:t>
      </w:r>
    </w:p>
    <w:p w14:paraId="3E54989B" w14:textId="77777777" w:rsidR="001341AC" w:rsidRPr="000E3DE5" w:rsidRDefault="001341AC" w:rsidP="000E3DE5">
      <w:pPr>
        <w:jc w:val="both"/>
        <w:rPr>
          <w:rFonts w:ascii="Arial" w:hAnsi="Arial" w:cs="Arial"/>
          <w:sz w:val="20"/>
          <w:szCs w:val="20"/>
          <w:lang w:val="en-US"/>
        </w:rPr>
      </w:pPr>
      <w:r w:rsidRPr="000E3DE5">
        <w:rPr>
          <w:rFonts w:ascii="Arial" w:hAnsi="Arial" w:cs="Arial"/>
          <w:sz w:val="20"/>
          <w:szCs w:val="20"/>
          <w:lang w:val="en-US"/>
        </w:rPr>
        <w:t>Request for data will be done in whole PERIAMAR group.</w:t>
      </w:r>
    </w:p>
    <w:p w14:paraId="11C2FB2F" w14:textId="77777777" w:rsidR="001341AC" w:rsidRPr="001341AC" w:rsidRDefault="001341AC" w:rsidP="001341AC">
      <w:pPr>
        <w:rPr>
          <w:rFonts w:ascii="Arial" w:eastAsiaTheme="minorHAnsi" w:hAnsi="Arial" w:cstheme="minorBidi"/>
          <w:b/>
          <w:sz w:val="20"/>
          <w:szCs w:val="24"/>
          <w:lang w:val="en-US" w:eastAsia="en-US"/>
        </w:rPr>
      </w:pPr>
    </w:p>
    <w:p w14:paraId="7122E23B" w14:textId="622BC01F" w:rsidR="00625267" w:rsidRPr="00C731C7" w:rsidRDefault="00C731C7" w:rsidP="00C731C7">
      <w:pPr>
        <w:pStyle w:val="Prrafodelista"/>
        <w:numPr>
          <w:ilvl w:val="0"/>
          <w:numId w:val="10"/>
        </w:numPr>
        <w:rPr>
          <w:rFonts w:ascii="Arial" w:eastAsiaTheme="minorHAnsi" w:hAnsi="Arial" w:cstheme="minorBidi"/>
          <w:b/>
          <w:sz w:val="20"/>
          <w:szCs w:val="24"/>
          <w:lang w:val="en-GB" w:eastAsia="en-US"/>
        </w:rPr>
      </w:pPr>
      <w:r w:rsidRPr="00C731C7">
        <w:rPr>
          <w:rFonts w:ascii="Arial" w:eastAsiaTheme="minorHAnsi" w:hAnsi="Arial" w:cstheme="minorBidi"/>
          <w:b/>
          <w:sz w:val="20"/>
          <w:szCs w:val="24"/>
          <w:lang w:val="en-GB" w:eastAsia="en-US"/>
        </w:rPr>
        <w:t>Inventory of suitable databases and design of a format to describe the databases</w:t>
      </w:r>
    </w:p>
    <w:p w14:paraId="24CF4D54" w14:textId="4BC7E295" w:rsidR="00DF4381" w:rsidRPr="00DF4381" w:rsidRDefault="00DF4381" w:rsidP="00DF4381">
      <w:pPr>
        <w:spacing w:after="120" w:line="260" w:lineRule="atLeast"/>
        <w:jc w:val="both"/>
        <w:rPr>
          <w:rFonts w:ascii="Arial" w:eastAsiaTheme="minorHAnsi" w:hAnsi="Arial" w:cstheme="minorBidi"/>
          <w:sz w:val="20"/>
          <w:szCs w:val="24"/>
          <w:lang w:val="en-GB" w:eastAsia="en-US"/>
        </w:rPr>
      </w:pPr>
      <w:r w:rsidRPr="00DF4381">
        <w:rPr>
          <w:rFonts w:ascii="Arial" w:eastAsiaTheme="minorHAnsi" w:hAnsi="Arial" w:cstheme="minorBidi"/>
          <w:sz w:val="20"/>
          <w:szCs w:val="24"/>
          <w:lang w:val="en-GB" w:eastAsia="en-US"/>
        </w:rPr>
        <w:t>Data may be available from national conservation institutions</w:t>
      </w:r>
      <w:r>
        <w:rPr>
          <w:rFonts w:ascii="Arial" w:eastAsiaTheme="minorHAnsi" w:hAnsi="Arial" w:cstheme="minorBidi"/>
          <w:sz w:val="20"/>
          <w:szCs w:val="24"/>
          <w:lang w:val="en-GB" w:eastAsia="en-US"/>
        </w:rPr>
        <w:t xml:space="preserve"> or local works</w:t>
      </w:r>
      <w:r w:rsidR="005F0EE6">
        <w:rPr>
          <w:rFonts w:ascii="Arial" w:eastAsiaTheme="minorHAnsi" w:hAnsi="Arial" w:cstheme="minorBidi"/>
          <w:sz w:val="20"/>
          <w:szCs w:val="24"/>
          <w:lang w:val="en-GB" w:eastAsia="en-US"/>
        </w:rPr>
        <w:t xml:space="preserve">. </w:t>
      </w:r>
      <w:r w:rsidRPr="00DF4381">
        <w:rPr>
          <w:rFonts w:ascii="Arial" w:eastAsiaTheme="minorHAnsi" w:hAnsi="Arial" w:cstheme="minorBidi"/>
          <w:sz w:val="20"/>
          <w:szCs w:val="24"/>
          <w:lang w:val="en-GB" w:eastAsia="en-US"/>
        </w:rPr>
        <w:t>The availability of data can also be checked in Amphibian Biology Book Series; which give an overview for every European</w:t>
      </w:r>
      <w:r w:rsidR="005F0EE6">
        <w:rPr>
          <w:rFonts w:ascii="Arial" w:eastAsiaTheme="minorHAnsi" w:hAnsi="Arial" w:cstheme="minorBidi"/>
          <w:sz w:val="20"/>
          <w:szCs w:val="24"/>
          <w:lang w:val="en-GB" w:eastAsia="en-US"/>
        </w:rPr>
        <w:t xml:space="preserve"> </w:t>
      </w:r>
      <w:r w:rsidRPr="00DF4381">
        <w:rPr>
          <w:rFonts w:ascii="Arial" w:eastAsiaTheme="minorHAnsi" w:hAnsi="Arial" w:cstheme="minorBidi"/>
          <w:sz w:val="20"/>
          <w:szCs w:val="24"/>
          <w:lang w:val="en-GB" w:eastAsia="en-US"/>
        </w:rPr>
        <w:t>country.</w:t>
      </w:r>
    </w:p>
    <w:p w14:paraId="3FD654AD" w14:textId="77777777" w:rsidR="00DF4381" w:rsidRPr="00DF4381" w:rsidRDefault="00DF4381" w:rsidP="00DF4381">
      <w:pPr>
        <w:spacing w:after="120" w:line="260" w:lineRule="atLeast"/>
        <w:jc w:val="both"/>
        <w:rPr>
          <w:rFonts w:ascii="Arial" w:eastAsiaTheme="minorHAnsi" w:hAnsi="Arial" w:cstheme="minorBidi"/>
          <w:sz w:val="20"/>
          <w:szCs w:val="24"/>
          <w:lang w:val="en-GB" w:eastAsia="en-US"/>
        </w:rPr>
      </w:pPr>
      <w:r w:rsidRPr="00DF4381">
        <w:rPr>
          <w:rFonts w:ascii="Arial" w:eastAsiaTheme="minorHAnsi" w:hAnsi="Arial" w:cstheme="minorBidi"/>
          <w:sz w:val="20"/>
          <w:szCs w:val="24"/>
          <w:lang w:val="en-GB" w:eastAsia="en-US"/>
        </w:rPr>
        <w:t>The minimum data preferred to be available in the databases would be:</w:t>
      </w:r>
    </w:p>
    <w:p w14:paraId="1C7B3D6D" w14:textId="0203C0E1" w:rsidR="00DF4381" w:rsidRPr="005F0EE6" w:rsidRDefault="00DF4381" w:rsidP="005F0EE6">
      <w:pPr>
        <w:pStyle w:val="Prrafodelista"/>
        <w:numPr>
          <w:ilvl w:val="0"/>
          <w:numId w:val="40"/>
        </w:numPr>
        <w:spacing w:after="120" w:line="260" w:lineRule="atLeast"/>
        <w:jc w:val="both"/>
        <w:rPr>
          <w:rFonts w:ascii="Arial" w:eastAsiaTheme="minorHAnsi" w:hAnsi="Arial" w:cstheme="minorBidi"/>
          <w:sz w:val="20"/>
          <w:szCs w:val="24"/>
          <w:lang w:val="en-GB" w:eastAsia="en-US"/>
        </w:rPr>
      </w:pPr>
      <w:r w:rsidRPr="005F0EE6">
        <w:rPr>
          <w:rFonts w:ascii="Arial" w:eastAsiaTheme="minorHAnsi" w:hAnsi="Arial" w:cstheme="minorBidi"/>
          <w:sz w:val="20"/>
          <w:szCs w:val="24"/>
          <w:lang w:val="en-GB" w:eastAsia="en-US"/>
        </w:rPr>
        <w:t>Water depth</w:t>
      </w:r>
      <w:r w:rsidR="005F0EE6" w:rsidRPr="005F0EE6">
        <w:rPr>
          <w:rFonts w:ascii="Arial" w:eastAsiaTheme="minorHAnsi" w:hAnsi="Arial" w:cstheme="minorBidi"/>
          <w:sz w:val="20"/>
          <w:szCs w:val="24"/>
          <w:lang w:val="en-GB" w:eastAsia="en-US"/>
        </w:rPr>
        <w:t xml:space="preserve">. </w:t>
      </w:r>
      <w:r w:rsidR="005F0EE6" w:rsidRPr="005F0EE6">
        <w:rPr>
          <w:rFonts w:ascii="Arial" w:eastAsiaTheme="minorHAnsi" w:hAnsi="Arial" w:cstheme="minorBidi"/>
          <w:sz w:val="20"/>
          <w:szCs w:val="24"/>
          <w:lang w:val="en-GB" w:eastAsia="en-US"/>
        </w:rPr>
        <w:t>Often the water depth is not available. This will not exclude the suitability of the database.</w:t>
      </w:r>
    </w:p>
    <w:p w14:paraId="3EF04A80" w14:textId="7EE3D926" w:rsidR="00DF4381" w:rsidRPr="005F0EE6" w:rsidRDefault="00DF4381" w:rsidP="005F0EE6">
      <w:pPr>
        <w:pStyle w:val="Prrafodelista"/>
        <w:numPr>
          <w:ilvl w:val="0"/>
          <w:numId w:val="39"/>
        </w:numPr>
        <w:spacing w:after="120" w:line="260" w:lineRule="atLeast"/>
        <w:jc w:val="both"/>
        <w:rPr>
          <w:rFonts w:ascii="Arial" w:eastAsiaTheme="minorHAnsi" w:hAnsi="Arial" w:cstheme="minorBidi"/>
          <w:sz w:val="20"/>
          <w:szCs w:val="24"/>
          <w:lang w:val="en-GB" w:eastAsia="en-US"/>
        </w:rPr>
      </w:pPr>
      <w:r w:rsidRPr="005F0EE6">
        <w:rPr>
          <w:rFonts w:ascii="Arial" w:eastAsiaTheme="minorHAnsi" w:hAnsi="Arial" w:cstheme="minorBidi"/>
          <w:sz w:val="20"/>
          <w:szCs w:val="24"/>
          <w:lang w:val="en-GB" w:eastAsia="en-US"/>
        </w:rPr>
        <w:t>Surface area</w:t>
      </w:r>
    </w:p>
    <w:p w14:paraId="2366EA6B" w14:textId="266B568B" w:rsidR="00DF4381" w:rsidRPr="005F0EE6" w:rsidRDefault="00DF4381" w:rsidP="005F0EE6">
      <w:pPr>
        <w:pStyle w:val="Prrafodelista"/>
        <w:numPr>
          <w:ilvl w:val="0"/>
          <w:numId w:val="39"/>
        </w:numPr>
        <w:spacing w:after="120" w:line="260" w:lineRule="atLeast"/>
        <w:jc w:val="both"/>
        <w:rPr>
          <w:rFonts w:ascii="Arial" w:eastAsiaTheme="minorHAnsi" w:hAnsi="Arial" w:cstheme="minorBidi"/>
          <w:sz w:val="20"/>
          <w:szCs w:val="24"/>
          <w:lang w:val="en-GB" w:eastAsia="en-US"/>
        </w:rPr>
      </w:pPr>
      <w:r w:rsidRPr="005F0EE6">
        <w:rPr>
          <w:rFonts w:ascii="Arial" w:eastAsiaTheme="minorHAnsi" w:hAnsi="Arial" w:cstheme="minorBidi"/>
          <w:sz w:val="20"/>
          <w:szCs w:val="24"/>
          <w:lang w:val="en-GB" w:eastAsia="en-US"/>
        </w:rPr>
        <w:t>Information regarding surrounding area (agricultural or not)</w:t>
      </w:r>
    </w:p>
    <w:p w14:paraId="7232B788" w14:textId="14D43013" w:rsidR="00186821" w:rsidRDefault="00DF4381" w:rsidP="00DF4381">
      <w:pPr>
        <w:spacing w:after="120" w:line="260" w:lineRule="atLeast"/>
        <w:jc w:val="both"/>
        <w:rPr>
          <w:rFonts w:ascii="Arial" w:eastAsiaTheme="minorHAnsi" w:hAnsi="Arial" w:cstheme="minorBidi"/>
          <w:sz w:val="20"/>
          <w:szCs w:val="24"/>
          <w:lang w:val="en-GB" w:eastAsia="en-US"/>
        </w:rPr>
      </w:pPr>
      <w:r w:rsidRPr="00DF4381">
        <w:rPr>
          <w:rFonts w:ascii="Arial" w:eastAsiaTheme="minorHAnsi" w:hAnsi="Arial" w:cstheme="minorBidi"/>
          <w:sz w:val="20"/>
          <w:szCs w:val="24"/>
          <w:lang w:val="en-GB" w:eastAsia="en-US"/>
        </w:rPr>
        <w:t>Request for data will be done in whole PERIAMAR group.</w:t>
      </w:r>
    </w:p>
    <w:p w14:paraId="74A506F9" w14:textId="77777777" w:rsidR="00625267" w:rsidRPr="009511FF" w:rsidRDefault="00625267" w:rsidP="009511FF">
      <w:pPr>
        <w:spacing w:after="120" w:line="260" w:lineRule="atLeast"/>
        <w:jc w:val="both"/>
        <w:rPr>
          <w:rFonts w:ascii="Arial" w:eastAsiaTheme="minorHAnsi" w:hAnsi="Arial" w:cstheme="minorBidi"/>
          <w:sz w:val="20"/>
          <w:szCs w:val="24"/>
          <w:lang w:val="en-GB" w:eastAsia="en-US"/>
        </w:rPr>
      </w:pPr>
    </w:p>
    <w:p w14:paraId="5BC342DD" w14:textId="77777777" w:rsidR="00CF6C48" w:rsidRDefault="00CF6C48" w:rsidP="00625267">
      <w:pPr>
        <w:pStyle w:val="Numberedlist"/>
        <w:numPr>
          <w:ilvl w:val="0"/>
          <w:numId w:val="10"/>
        </w:numPr>
        <w:rPr>
          <w:b/>
          <w:color w:val="auto"/>
        </w:rPr>
      </w:pPr>
      <w:r w:rsidRPr="00CF6C48">
        <w:rPr>
          <w:b/>
          <w:color w:val="auto"/>
        </w:rPr>
        <w:t>Closing</w:t>
      </w:r>
    </w:p>
    <w:p w14:paraId="0995986C" w14:textId="77777777" w:rsidR="000353EB" w:rsidRPr="000353EB" w:rsidRDefault="000353EB" w:rsidP="000353EB">
      <w:pPr>
        <w:spacing w:after="120" w:line="260" w:lineRule="atLeast"/>
        <w:jc w:val="both"/>
        <w:rPr>
          <w:rFonts w:ascii="Arial" w:eastAsiaTheme="minorHAnsi" w:hAnsi="Arial" w:cstheme="minorBidi"/>
          <w:sz w:val="20"/>
          <w:szCs w:val="24"/>
          <w:lang w:val="en-GB" w:eastAsia="en-US"/>
        </w:rPr>
      </w:pPr>
      <w:r w:rsidRPr="000353EB">
        <w:rPr>
          <w:rFonts w:ascii="Arial" w:eastAsiaTheme="minorHAnsi" w:hAnsi="Arial" w:cstheme="minorBidi"/>
          <w:sz w:val="20"/>
          <w:szCs w:val="24"/>
          <w:lang w:val="en-GB" w:eastAsia="en-US"/>
        </w:rPr>
        <w:t>Conclusions concerning TOXSWA model development:</w:t>
      </w:r>
    </w:p>
    <w:p w14:paraId="4B050EA5" w14:textId="77777777" w:rsidR="000353EB" w:rsidRPr="000353EB" w:rsidRDefault="000353EB" w:rsidP="000353EB">
      <w:pPr>
        <w:spacing w:after="120" w:line="260" w:lineRule="atLeast"/>
        <w:jc w:val="both"/>
        <w:rPr>
          <w:rFonts w:ascii="Arial" w:eastAsiaTheme="minorHAnsi" w:hAnsi="Arial" w:cstheme="minorBidi"/>
          <w:sz w:val="20"/>
          <w:szCs w:val="24"/>
          <w:lang w:val="en-GB" w:eastAsia="en-US"/>
        </w:rPr>
      </w:pPr>
      <w:r w:rsidRPr="000353EB">
        <w:rPr>
          <w:rFonts w:ascii="Arial" w:eastAsiaTheme="minorHAnsi" w:hAnsi="Arial" w:cstheme="minorBidi"/>
          <w:sz w:val="20"/>
          <w:szCs w:val="24"/>
          <w:lang w:val="en-GB" w:eastAsia="en-US"/>
        </w:rPr>
        <w:t>1. Simulation of temporary pond is important: e.g. within a time series of 20 years the model needs to allow for a pond running dry during a number of years</w:t>
      </w:r>
    </w:p>
    <w:p w14:paraId="1C0FBE9D" w14:textId="77777777" w:rsidR="000353EB" w:rsidRPr="000353EB" w:rsidRDefault="000353EB" w:rsidP="000353EB">
      <w:pPr>
        <w:spacing w:after="120" w:line="260" w:lineRule="atLeast"/>
        <w:jc w:val="both"/>
        <w:rPr>
          <w:rFonts w:ascii="Arial" w:eastAsiaTheme="minorHAnsi" w:hAnsi="Arial" w:cstheme="minorBidi"/>
          <w:sz w:val="20"/>
          <w:szCs w:val="24"/>
          <w:lang w:val="en-GB" w:eastAsia="en-US"/>
        </w:rPr>
      </w:pPr>
      <w:r w:rsidRPr="000353EB">
        <w:rPr>
          <w:rFonts w:ascii="Arial" w:eastAsiaTheme="minorHAnsi" w:hAnsi="Arial" w:cstheme="minorBidi"/>
          <w:sz w:val="20"/>
          <w:szCs w:val="24"/>
          <w:lang w:val="en-GB" w:eastAsia="en-US"/>
        </w:rPr>
        <w:t>2. The model should be able to simulate a plausible hydrology in the pond, without having a permanent water inlet (what the current EU FOCUS pond has), i.e. only based upon rainfall, evaporation, (upward or downward) seepage and possibly surface runoff or drainage water. Water depth should vary as function of time.</w:t>
      </w:r>
    </w:p>
    <w:p w14:paraId="3EDA1017" w14:textId="2587AB27" w:rsidR="0078398A" w:rsidRDefault="000353EB" w:rsidP="000353EB">
      <w:pPr>
        <w:spacing w:after="120" w:line="260" w:lineRule="atLeast"/>
        <w:jc w:val="both"/>
        <w:rPr>
          <w:b/>
        </w:rPr>
      </w:pPr>
      <w:r w:rsidRPr="000353EB">
        <w:rPr>
          <w:rFonts w:ascii="Arial" w:eastAsiaTheme="minorHAnsi" w:hAnsi="Arial" w:cstheme="minorBidi"/>
          <w:sz w:val="20"/>
          <w:szCs w:val="24"/>
          <w:lang w:val="en-GB" w:eastAsia="en-US"/>
        </w:rPr>
        <w:t>3. A sediment depth of 10 cm seems OK, 25 cm is not needed (would have consequences for run time model)</w:t>
      </w:r>
      <w:r>
        <w:rPr>
          <w:rFonts w:ascii="Arial" w:eastAsiaTheme="minorHAnsi" w:hAnsi="Arial" w:cstheme="minorBidi"/>
          <w:sz w:val="20"/>
          <w:szCs w:val="24"/>
          <w:lang w:val="en-GB" w:eastAsia="en-US"/>
        </w:rPr>
        <w:t>.</w:t>
      </w:r>
      <w:r w:rsidR="0078398A">
        <w:rPr>
          <w:b/>
        </w:rPr>
        <w:br w:type="page"/>
      </w:r>
    </w:p>
    <w:p w14:paraId="4EA82795" w14:textId="77777777" w:rsidR="0078398A" w:rsidRPr="00CE0D4C" w:rsidRDefault="0078398A" w:rsidP="0078398A">
      <w:pPr>
        <w:pStyle w:val="Ttulo2"/>
      </w:pPr>
      <w:r w:rsidRPr="00CE0D4C">
        <w:lastRenderedPageBreak/>
        <w:t>LIST OF ANNEXES</w:t>
      </w:r>
    </w:p>
    <w:p w14:paraId="2403682E" w14:textId="77777777" w:rsidR="0078398A" w:rsidRPr="00410D1E" w:rsidRDefault="0078398A" w:rsidP="0078398A">
      <w:pPr>
        <w:rPr>
          <w:b/>
        </w:rPr>
      </w:pPr>
    </w:p>
    <w:p w14:paraId="31C07983" w14:textId="77777777" w:rsidR="0078398A" w:rsidRPr="00410D1E" w:rsidRDefault="0078398A" w:rsidP="0078398A">
      <w:pPr>
        <w:rPr>
          <w:b/>
        </w:rPr>
      </w:pPr>
      <w:r w:rsidRPr="00410D1E">
        <w:rPr>
          <w:b/>
        </w:rPr>
        <w:t xml:space="preserve">Annex 1 – </w:t>
      </w:r>
      <w:r w:rsidRPr="0078398A">
        <w:rPr>
          <w:b/>
        </w:rPr>
        <w:t>Attendance List</w:t>
      </w:r>
    </w:p>
    <w:p w14:paraId="40027766" w14:textId="6169D1F4" w:rsidR="009511FF" w:rsidRDefault="009E03D7" w:rsidP="009511FF">
      <w:pPr>
        <w:pStyle w:val="Numberedlist"/>
        <w:numPr>
          <w:ilvl w:val="0"/>
          <w:numId w:val="0"/>
        </w:numPr>
        <w:rPr>
          <w:b/>
          <w:color w:val="auto"/>
        </w:rPr>
      </w:pPr>
      <w:r>
        <w:rPr>
          <w:b/>
          <w:color w:val="auto"/>
        </w:rPr>
        <w:object w:dxaOrig="1543" w:dyaOrig="1000" w14:anchorId="24D287B8">
          <v:shape id="_x0000_i1036" type="#_x0000_t75" style="width:77pt;height:50pt" o:ole="">
            <v:imagedata r:id="rId8" o:title=""/>
          </v:shape>
          <o:OLEObject Type="Embed" ProgID="AcroExch.Document.DC" ShapeID="_x0000_i1036" DrawAspect="Icon" ObjectID="_1704274237" r:id="rId9"/>
        </w:object>
      </w:r>
    </w:p>
    <w:p w14:paraId="2628F249" w14:textId="77777777" w:rsidR="001472C6" w:rsidRDefault="001472C6" w:rsidP="009511FF">
      <w:pPr>
        <w:pStyle w:val="Numberedlist"/>
        <w:numPr>
          <w:ilvl w:val="0"/>
          <w:numId w:val="0"/>
        </w:numPr>
        <w:rPr>
          <w:b/>
          <w:color w:val="auto"/>
        </w:rPr>
      </w:pPr>
    </w:p>
    <w:p w14:paraId="77D37A7A" w14:textId="77777777" w:rsidR="0078398A" w:rsidRPr="00410D1E" w:rsidRDefault="0078398A" w:rsidP="0078398A">
      <w:pPr>
        <w:rPr>
          <w:b/>
        </w:rPr>
      </w:pPr>
      <w:r w:rsidRPr="00410D1E">
        <w:rPr>
          <w:b/>
        </w:rPr>
        <w:t xml:space="preserve">Annex </w:t>
      </w:r>
      <w:r>
        <w:rPr>
          <w:b/>
        </w:rPr>
        <w:t>2</w:t>
      </w:r>
      <w:r w:rsidRPr="00410D1E">
        <w:rPr>
          <w:b/>
        </w:rPr>
        <w:t xml:space="preserve"> – </w:t>
      </w:r>
      <w:r w:rsidRPr="0078398A">
        <w:rPr>
          <w:b/>
        </w:rPr>
        <w:t>A</w:t>
      </w:r>
      <w:r>
        <w:rPr>
          <w:b/>
        </w:rPr>
        <w:t>genda</w:t>
      </w:r>
    </w:p>
    <w:p w14:paraId="48246F2B" w14:textId="6D4C1EAF" w:rsidR="00695F24" w:rsidRDefault="009E03D7" w:rsidP="009511FF">
      <w:pPr>
        <w:pStyle w:val="Numberedlist"/>
        <w:numPr>
          <w:ilvl w:val="0"/>
          <w:numId w:val="0"/>
        </w:numPr>
        <w:rPr>
          <w:b/>
          <w:color w:val="auto"/>
        </w:rPr>
      </w:pPr>
      <w:r>
        <w:rPr>
          <w:b/>
          <w:color w:val="auto"/>
        </w:rPr>
        <w:object w:dxaOrig="1543" w:dyaOrig="1000" w14:anchorId="3324E588">
          <v:shape id="_x0000_i1037" type="#_x0000_t75" style="width:77pt;height:50pt" o:ole="">
            <v:imagedata r:id="rId10" o:title=""/>
          </v:shape>
          <o:OLEObject Type="Embed" ProgID="AcroExch.Document.DC" ShapeID="_x0000_i1037" DrawAspect="Icon" ObjectID="_1704274238" r:id="rId11"/>
        </w:object>
      </w:r>
    </w:p>
    <w:sectPr w:rsidR="00695F24" w:rsidSect="00C77A92">
      <w:headerReference w:type="default" r:id="rId12"/>
      <w:headerReference w:type="first" r:id="rId13"/>
      <w:footerReference w:type="first" r:id="rId14"/>
      <w:pgSz w:w="11907" w:h="16840"/>
      <w:pgMar w:top="2422" w:right="1701" w:bottom="1417"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7A72" w14:textId="77777777" w:rsidR="007765E5" w:rsidRDefault="007765E5">
      <w:pPr>
        <w:spacing w:after="0" w:line="240" w:lineRule="auto"/>
      </w:pPr>
      <w:r>
        <w:separator/>
      </w:r>
    </w:p>
  </w:endnote>
  <w:endnote w:type="continuationSeparator" w:id="0">
    <w:p w14:paraId="31FB74D2" w14:textId="77777777" w:rsidR="007765E5" w:rsidRDefault="007765E5">
      <w:pPr>
        <w:spacing w:after="0" w:line="240" w:lineRule="auto"/>
      </w:pPr>
      <w:r>
        <w:continuationSeparator/>
      </w:r>
    </w:p>
  </w:endnote>
  <w:endnote w:type="continuationNotice" w:id="1">
    <w:p w14:paraId="7DDC9C7C" w14:textId="77777777" w:rsidR="007765E5" w:rsidRDefault="00776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FA20" w14:textId="77777777" w:rsidR="0078398A" w:rsidRDefault="0078398A">
    <w:pPr>
      <w:pStyle w:val="Piedepgina"/>
    </w:pPr>
    <w:r>
      <w:rPr>
        <w:noProof/>
        <w:lang w:val="de-CH" w:eastAsia="de-CH"/>
      </w:rPr>
      <w:drawing>
        <wp:anchor distT="180020" distB="180020" distL="180020" distR="180020" simplePos="0" relativeHeight="251658242" behindDoc="0" locked="0" layoutInCell="0" allowOverlap="1" wp14:anchorId="7B43F1A2" wp14:editId="7899C630">
          <wp:simplePos x="0" y="0"/>
          <wp:positionH relativeFrom="margin">
            <wp:align>left</wp:align>
          </wp:positionH>
          <wp:positionV relativeFrom="paragraph">
            <wp:posOffset>-642620</wp:posOffset>
          </wp:positionV>
          <wp:extent cx="5940000" cy="907902"/>
          <wp:effectExtent l="0" t="0" r="3810" b="6985"/>
          <wp:wrapNone/>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0330" t="19841" r="12194" b="17990"/>
                  <a:stretch/>
                </pic:blipFill>
                <pic:spPr bwMode="auto">
                  <a:xfrm>
                    <a:off x="0" y="0"/>
                    <a:ext cx="5940000" cy="907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A989" w14:textId="77777777" w:rsidR="007765E5" w:rsidRDefault="007765E5">
      <w:pPr>
        <w:spacing w:after="0" w:line="240" w:lineRule="auto"/>
      </w:pPr>
      <w:r>
        <w:separator/>
      </w:r>
    </w:p>
  </w:footnote>
  <w:footnote w:type="continuationSeparator" w:id="0">
    <w:p w14:paraId="553413ED" w14:textId="77777777" w:rsidR="007765E5" w:rsidRDefault="007765E5">
      <w:pPr>
        <w:spacing w:after="0" w:line="240" w:lineRule="auto"/>
      </w:pPr>
      <w:r>
        <w:continuationSeparator/>
      </w:r>
    </w:p>
  </w:footnote>
  <w:footnote w:type="continuationNotice" w:id="1">
    <w:p w14:paraId="325D101D" w14:textId="77777777" w:rsidR="007765E5" w:rsidRDefault="00776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B5B8" w14:textId="77777777" w:rsidR="0078398A" w:rsidRDefault="0078398A">
    <w:pPr>
      <w:widowControl w:val="0"/>
      <w:autoSpaceDE w:val="0"/>
      <w:autoSpaceDN w:val="0"/>
      <w:adjustRightInd w:val="0"/>
      <w:spacing w:after="0" w:line="240" w:lineRule="auto"/>
      <w:jc w:val="center"/>
      <w:rPr>
        <w:rFonts w:ascii="Arial" w:hAnsi="Arial" w:cs="Arial"/>
        <w:sz w:val="20"/>
        <w:szCs w:val="20"/>
      </w:rPr>
    </w:pPr>
    <w:r>
      <w:rPr>
        <w:noProof/>
        <w:lang w:val="de-CH" w:eastAsia="de-CH"/>
      </w:rPr>
      <w:drawing>
        <wp:anchor distT="0" distB="0" distL="114300" distR="114300" simplePos="0" relativeHeight="251658241" behindDoc="0" locked="0" layoutInCell="1" allowOverlap="1" wp14:anchorId="7529A3AA" wp14:editId="5978A126">
          <wp:simplePos x="0" y="0"/>
          <wp:positionH relativeFrom="margin">
            <wp:align>right</wp:align>
          </wp:positionH>
          <wp:positionV relativeFrom="paragraph">
            <wp:posOffset>337102</wp:posOffset>
          </wp:positionV>
          <wp:extent cx="1092200" cy="933450"/>
          <wp:effectExtent l="0" t="0" r="0" b="0"/>
          <wp:wrapNone/>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180020" distB="180020" distL="180020" distR="180020" simplePos="0" relativeHeight="251658240" behindDoc="1" locked="0" layoutInCell="0" allowOverlap="1" wp14:anchorId="03CB1A55" wp14:editId="21BDD518">
          <wp:simplePos x="0" y="0"/>
          <wp:positionH relativeFrom="margin">
            <wp:align>left</wp:align>
          </wp:positionH>
          <wp:positionV relativeFrom="paragraph">
            <wp:posOffset>323850</wp:posOffset>
          </wp:positionV>
          <wp:extent cx="2133600" cy="933450"/>
          <wp:effectExtent l="0" t="0" r="0" b="0"/>
          <wp:wrapSquare wrapText="bothSides"/>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6803" t="25397" r="64978" b="22751"/>
                  <a:stretch/>
                </pic:blipFill>
                <pic:spPr bwMode="auto">
                  <a:xfrm>
                    <a:off x="0" y="0"/>
                    <a:ext cx="21336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7A17" w14:textId="77777777" w:rsidR="0078398A" w:rsidRDefault="0078398A">
    <w:pPr>
      <w:pStyle w:val="Encabezado"/>
    </w:pPr>
    <w:r w:rsidRPr="00C77A92">
      <w:rPr>
        <w:noProof/>
        <w:lang w:val="de-CH" w:eastAsia="de-CH"/>
      </w:rPr>
      <w:drawing>
        <wp:anchor distT="180020" distB="180020" distL="180020" distR="180020" simplePos="0" relativeHeight="251658243" behindDoc="1" locked="0" layoutInCell="0" allowOverlap="1" wp14:anchorId="70DF7C0E" wp14:editId="48A7133B">
          <wp:simplePos x="0" y="0"/>
          <wp:positionH relativeFrom="margin">
            <wp:posOffset>57150</wp:posOffset>
          </wp:positionH>
          <wp:positionV relativeFrom="paragraph">
            <wp:posOffset>294005</wp:posOffset>
          </wp:positionV>
          <wp:extent cx="2133600" cy="933450"/>
          <wp:effectExtent l="0" t="0" r="0" b="0"/>
          <wp:wrapSquare wrapText="bothSides"/>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803" t="25397" r="64978" b="22751"/>
                  <a:stretch/>
                </pic:blipFill>
                <pic:spPr bwMode="auto">
                  <a:xfrm>
                    <a:off x="0" y="0"/>
                    <a:ext cx="21336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A92">
      <w:rPr>
        <w:noProof/>
        <w:lang w:val="de-CH" w:eastAsia="de-CH"/>
      </w:rPr>
      <w:drawing>
        <wp:anchor distT="0" distB="0" distL="114300" distR="114300" simplePos="0" relativeHeight="251658244" behindDoc="0" locked="0" layoutInCell="1" allowOverlap="1" wp14:anchorId="3B8A8611" wp14:editId="4C4618F6">
          <wp:simplePos x="0" y="0"/>
          <wp:positionH relativeFrom="margin">
            <wp:align>right</wp:align>
          </wp:positionH>
          <wp:positionV relativeFrom="paragraph">
            <wp:posOffset>304800</wp:posOffset>
          </wp:positionV>
          <wp:extent cx="1092200" cy="933450"/>
          <wp:effectExtent l="0" t="0" r="0" b="0"/>
          <wp:wrapNone/>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75pt;height:75pt" o:bullet="t">
        <v:imagedata r:id="rId1" o:title="point"/>
      </v:shape>
    </w:pict>
  </w:numPicBullet>
  <w:abstractNum w:abstractNumId="0" w15:restartNumberingAfterBreak="0">
    <w:nsid w:val="03E235C0"/>
    <w:multiLevelType w:val="hybridMultilevel"/>
    <w:tmpl w:val="9A44C03E"/>
    <w:lvl w:ilvl="0" w:tplc="A6E2DF96">
      <w:start w:val="1"/>
      <w:numFmt w:val="decimal"/>
      <w:lvlText w:val="%1."/>
      <w:lvlJc w:val="left"/>
      <w:pPr>
        <w:ind w:left="1080" w:hanging="360"/>
      </w:pPr>
      <w:rPr>
        <w:rFonts w:hint="default"/>
        <w:color w:val="2A678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F091009"/>
    <w:multiLevelType w:val="hybridMultilevel"/>
    <w:tmpl w:val="B73C0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3B946B3"/>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3" w15:restartNumberingAfterBreak="0">
    <w:nsid w:val="180C3D48"/>
    <w:multiLevelType w:val="hybridMultilevel"/>
    <w:tmpl w:val="6EA4F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5220DC"/>
    <w:multiLevelType w:val="hybridMultilevel"/>
    <w:tmpl w:val="A1D86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C288B"/>
    <w:multiLevelType w:val="hybridMultilevel"/>
    <w:tmpl w:val="121C407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D4155CB"/>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7" w15:restartNumberingAfterBreak="0">
    <w:nsid w:val="31245FBA"/>
    <w:multiLevelType w:val="hybridMultilevel"/>
    <w:tmpl w:val="6ADE2128"/>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DA3477"/>
    <w:multiLevelType w:val="hybridMultilevel"/>
    <w:tmpl w:val="F3D6E962"/>
    <w:lvl w:ilvl="0" w:tplc="279E3CAE">
      <w:start w:val="1"/>
      <w:numFmt w:val="bullet"/>
      <w:lvlText w:val=""/>
      <w:lvlJc w:val="left"/>
      <w:pPr>
        <w:ind w:left="720" w:hanging="360"/>
      </w:pPr>
      <w:rPr>
        <w:rFonts w:ascii="Wingdings" w:hAnsi="Wingdings" w:hint="default"/>
        <w:color w:val="2A678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D62EF"/>
    <w:multiLevelType w:val="multilevel"/>
    <w:tmpl w:val="684475C8"/>
    <w:styleLink w:val="COSTNUM"/>
    <w:lvl w:ilvl="0">
      <w:start w:val="1"/>
      <w:numFmt w:val="decimal"/>
      <w:pStyle w:val="Numberedlist"/>
      <w:lvlText w:val="%1."/>
      <w:lvlJc w:val="left"/>
      <w:pPr>
        <w:tabs>
          <w:tab w:val="num" w:pos="1134"/>
        </w:tabs>
        <w:ind w:left="1134" w:hanging="283"/>
      </w:pPr>
      <w:rPr>
        <w:rFonts w:hint="default"/>
        <w:color w:val="ED7D31" w:themeColor="accent2"/>
      </w:rPr>
    </w:lvl>
    <w:lvl w:ilvl="1">
      <w:start w:val="1"/>
      <w:numFmt w:val="decimal"/>
      <w:lvlText w:val="%1.%2."/>
      <w:lvlJc w:val="left"/>
      <w:pPr>
        <w:tabs>
          <w:tab w:val="num" w:pos="1701"/>
        </w:tabs>
        <w:ind w:left="1701" w:hanging="283"/>
      </w:pPr>
      <w:rPr>
        <w:rFonts w:hint="default"/>
        <w:color w:val="ED7D31" w:themeColor="accent2"/>
      </w:rPr>
    </w:lvl>
    <w:lvl w:ilvl="2">
      <w:start w:val="1"/>
      <w:numFmt w:val="decimal"/>
      <w:lvlText w:val="%1.%2.%3."/>
      <w:lvlJc w:val="left"/>
      <w:pPr>
        <w:tabs>
          <w:tab w:val="num" w:pos="2268"/>
        </w:tabs>
        <w:ind w:left="2268" w:hanging="283"/>
      </w:pPr>
      <w:rPr>
        <w:rFonts w:hint="default"/>
        <w:color w:val="ED7D31" w:themeColor="accent2"/>
      </w:rPr>
    </w:lvl>
    <w:lvl w:ilvl="3">
      <w:start w:val="1"/>
      <w:numFmt w:val="decimal"/>
      <w:lvlText w:val="%1.%2.%3.%4."/>
      <w:lvlJc w:val="left"/>
      <w:pPr>
        <w:tabs>
          <w:tab w:val="num" w:pos="2835"/>
        </w:tabs>
        <w:ind w:left="2835" w:hanging="283"/>
      </w:pPr>
      <w:rPr>
        <w:rFonts w:hint="default"/>
        <w:color w:val="ED7D31" w:themeColor="accent2"/>
      </w:rPr>
    </w:lvl>
    <w:lvl w:ilvl="4">
      <w:start w:val="1"/>
      <w:numFmt w:val="decimal"/>
      <w:lvlText w:val="%1.%2.%3.%4.%5."/>
      <w:lvlJc w:val="left"/>
      <w:pPr>
        <w:tabs>
          <w:tab w:val="num" w:pos="3402"/>
        </w:tabs>
        <w:ind w:left="3402" w:hanging="283"/>
      </w:pPr>
      <w:rPr>
        <w:rFonts w:hint="default"/>
        <w:color w:val="ED7D31" w:themeColor="accent2"/>
      </w:rPr>
    </w:lvl>
    <w:lvl w:ilvl="5">
      <w:start w:val="1"/>
      <w:numFmt w:val="decimal"/>
      <w:lvlText w:val="%1.%2.%3.%4.%5.%6."/>
      <w:lvlJc w:val="left"/>
      <w:pPr>
        <w:tabs>
          <w:tab w:val="num" w:pos="3969"/>
        </w:tabs>
        <w:ind w:left="3969" w:hanging="283"/>
      </w:pPr>
      <w:rPr>
        <w:rFonts w:hint="default"/>
        <w:color w:val="ED7D31" w:themeColor="accent2"/>
      </w:rPr>
    </w:lvl>
    <w:lvl w:ilvl="6">
      <w:start w:val="1"/>
      <w:numFmt w:val="decimal"/>
      <w:lvlText w:val="%1.%2.%3.%4.%5.%6.%7."/>
      <w:lvlJc w:val="left"/>
      <w:pPr>
        <w:tabs>
          <w:tab w:val="num" w:pos="4536"/>
        </w:tabs>
        <w:ind w:left="4536" w:hanging="283"/>
      </w:pPr>
      <w:rPr>
        <w:rFonts w:hint="default"/>
        <w:color w:val="ED7D31" w:themeColor="accent2"/>
      </w:rPr>
    </w:lvl>
    <w:lvl w:ilvl="7">
      <w:start w:val="1"/>
      <w:numFmt w:val="decimal"/>
      <w:lvlText w:val="%1.%2.%3.%4.%5.%6.%7.%8."/>
      <w:lvlJc w:val="left"/>
      <w:pPr>
        <w:tabs>
          <w:tab w:val="num" w:pos="5103"/>
        </w:tabs>
        <w:ind w:left="5103" w:hanging="283"/>
      </w:pPr>
      <w:rPr>
        <w:rFonts w:hint="default"/>
        <w:color w:val="ED7D31" w:themeColor="accent2"/>
      </w:rPr>
    </w:lvl>
    <w:lvl w:ilvl="8">
      <w:start w:val="1"/>
      <w:numFmt w:val="decimal"/>
      <w:lvlText w:val="%1.%2.%3.%4.%5.%6.%7.%8.%9."/>
      <w:lvlJc w:val="left"/>
      <w:pPr>
        <w:tabs>
          <w:tab w:val="num" w:pos="5670"/>
        </w:tabs>
        <w:ind w:left="5670" w:hanging="283"/>
      </w:pPr>
      <w:rPr>
        <w:rFonts w:hint="default"/>
        <w:color w:val="ED7D31" w:themeColor="accent2"/>
      </w:rPr>
    </w:lvl>
  </w:abstractNum>
  <w:abstractNum w:abstractNumId="10" w15:restartNumberingAfterBreak="0">
    <w:nsid w:val="332F4752"/>
    <w:multiLevelType w:val="multilevel"/>
    <w:tmpl w:val="D5022BDE"/>
    <w:lvl w:ilvl="0">
      <w:start w:val="1"/>
      <w:numFmt w:val="bullet"/>
      <w:pStyle w:val="Bulletpoin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11" w15:restartNumberingAfterBreak="0">
    <w:nsid w:val="42B96DDA"/>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2" w15:restartNumberingAfterBreak="0">
    <w:nsid w:val="44676DC7"/>
    <w:multiLevelType w:val="multilevel"/>
    <w:tmpl w:val="058A0230"/>
    <w:lvl w:ilvl="0">
      <w:start w:val="1"/>
      <w:numFmt w:val="bullet"/>
      <w:lvlText w:val=""/>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13" w15:restartNumberingAfterBreak="0">
    <w:nsid w:val="4C482349"/>
    <w:multiLevelType w:val="hybridMultilevel"/>
    <w:tmpl w:val="B65801C0"/>
    <w:lvl w:ilvl="0" w:tplc="723E20B6">
      <w:start w:val="1"/>
      <w:numFmt w:val="bullet"/>
      <w:lvlText w:val=""/>
      <w:lvlJc w:val="left"/>
      <w:pPr>
        <w:ind w:left="720" w:hanging="360"/>
      </w:pPr>
      <w:rPr>
        <w:rFonts w:ascii="Wingdings" w:hAnsi="Wingdings" w:hint="default"/>
        <w:color w:val="ED7D31" w:themeColor="accent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4879D2"/>
    <w:multiLevelType w:val="hybridMultilevel"/>
    <w:tmpl w:val="6F441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A2458A6"/>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6" w15:restartNumberingAfterBreak="0">
    <w:nsid w:val="5E00692A"/>
    <w:multiLevelType w:val="hybridMultilevel"/>
    <w:tmpl w:val="5C50C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A8695B"/>
    <w:multiLevelType w:val="multilevel"/>
    <w:tmpl w:val="684475C8"/>
    <w:numStyleLink w:val="COSTNUM"/>
  </w:abstractNum>
  <w:abstractNum w:abstractNumId="18" w15:restartNumberingAfterBreak="0">
    <w:nsid w:val="624D6243"/>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9" w15:restartNumberingAfterBreak="0">
    <w:nsid w:val="674E769E"/>
    <w:multiLevelType w:val="hybridMultilevel"/>
    <w:tmpl w:val="9A26104E"/>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5FD37E3"/>
    <w:multiLevelType w:val="hybridMultilevel"/>
    <w:tmpl w:val="6BB8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70376BC"/>
    <w:multiLevelType w:val="hybridMultilevel"/>
    <w:tmpl w:val="A5E4C48E"/>
    <w:lvl w:ilvl="0" w:tplc="723E20B6">
      <w:start w:val="1"/>
      <w:numFmt w:val="bullet"/>
      <w:lvlText w:val=""/>
      <w:lvlJc w:val="left"/>
      <w:pPr>
        <w:ind w:left="720" w:hanging="360"/>
      </w:pPr>
      <w:rPr>
        <w:rFonts w:ascii="Wingdings" w:hAnsi="Wingdings" w:hint="default"/>
        <w:color w:val="ED7D31"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80367DA"/>
    <w:multiLevelType w:val="hybridMultilevel"/>
    <w:tmpl w:val="DBE6A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63520A"/>
    <w:multiLevelType w:val="multilevel"/>
    <w:tmpl w:val="058A0230"/>
    <w:lvl w:ilvl="0">
      <w:start w:val="1"/>
      <w:numFmt w:val="bullet"/>
      <w:lvlText w:val=""/>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num w:numId="1">
    <w:abstractNumId w:val="13"/>
  </w:num>
  <w:num w:numId="2">
    <w:abstractNumId w:val="1"/>
  </w:num>
  <w:num w:numId="3">
    <w:abstractNumId w:val="9"/>
  </w:num>
  <w:num w:numId="4">
    <w:abstractNumId w:val="17"/>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5">
    <w:abstractNumId w:val="10"/>
  </w:num>
  <w:num w:numId="6">
    <w:abstractNumId w:val="17"/>
    <w:lvlOverride w:ilvl="0">
      <w:lvl w:ilvl="0">
        <w:start w:val="1"/>
        <w:numFmt w:val="decimal"/>
        <w:pStyle w:val="Numberedlist"/>
        <w:lvlText w:val="%1."/>
        <w:lvlJc w:val="left"/>
        <w:pPr>
          <w:tabs>
            <w:tab w:val="num" w:pos="1134"/>
          </w:tabs>
          <w:ind w:left="1134" w:hanging="283"/>
        </w:pPr>
        <w:rPr>
          <w:rFonts w:hint="default"/>
          <w:color w:val="2A678B"/>
        </w:rPr>
      </w:lvl>
    </w:lvlOverride>
  </w:num>
  <w:num w:numId="7">
    <w:abstractNumId w:val="17"/>
    <w:lvlOverride w:ilvl="0">
      <w:lvl w:ilvl="0">
        <w:start w:val="1"/>
        <w:numFmt w:val="decimal"/>
        <w:pStyle w:val="Numberedlist"/>
        <w:lvlText w:val="%1."/>
        <w:lvlJc w:val="left"/>
        <w:pPr>
          <w:tabs>
            <w:tab w:val="num" w:pos="1134"/>
          </w:tabs>
          <w:ind w:left="1134" w:hanging="283"/>
        </w:pPr>
        <w:rPr>
          <w:rFonts w:hint="default"/>
          <w:color w:val="2A678B"/>
        </w:rPr>
      </w:lvl>
    </w:lvlOverride>
  </w:num>
  <w:num w:numId="8">
    <w:abstractNumId w:val="17"/>
    <w:lvlOverride w:ilvl="0">
      <w:lvl w:ilvl="0">
        <w:start w:val="1"/>
        <w:numFmt w:val="decimal"/>
        <w:pStyle w:val="Numberedlist"/>
        <w:lvlText w:val="%1."/>
        <w:lvlJc w:val="left"/>
        <w:pPr>
          <w:tabs>
            <w:tab w:val="num" w:pos="1134"/>
          </w:tabs>
          <w:ind w:left="1134" w:hanging="283"/>
        </w:pPr>
        <w:rPr>
          <w:rFonts w:hint="default"/>
          <w:color w:val="2A678B"/>
        </w:rPr>
      </w:lvl>
    </w:lvlOverride>
  </w:num>
  <w:num w:numId="9">
    <w:abstractNumId w:val="17"/>
  </w:num>
  <w:num w:numId="10">
    <w:abstractNumId w:val="2"/>
  </w:num>
  <w:num w:numId="11">
    <w:abstractNumId w:val="17"/>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2">
    <w:abstractNumId w:val="17"/>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3">
    <w:abstractNumId w:val="17"/>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4">
    <w:abstractNumId w:val="17"/>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5">
    <w:abstractNumId w:val="10"/>
  </w:num>
  <w:num w:numId="16">
    <w:abstractNumId w:val="23"/>
  </w:num>
  <w:num w:numId="17">
    <w:abstractNumId w:val="12"/>
  </w:num>
  <w:num w:numId="18">
    <w:abstractNumId w:val="10"/>
  </w:num>
  <w:num w:numId="19">
    <w:abstractNumId w:val="17"/>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0">
    <w:abstractNumId w:val="10"/>
  </w:num>
  <w:num w:numId="21">
    <w:abstractNumId w:val="21"/>
  </w:num>
  <w:num w:numId="22">
    <w:abstractNumId w:val="8"/>
  </w:num>
  <w:num w:numId="23">
    <w:abstractNumId w:val="17"/>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4">
    <w:abstractNumId w:val="0"/>
  </w:num>
  <w:num w:numId="25">
    <w:abstractNumId w:val="17"/>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6">
    <w:abstractNumId w:val="17"/>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7">
    <w:abstractNumId w:val="17"/>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8">
    <w:abstractNumId w:val="7"/>
  </w:num>
  <w:num w:numId="29">
    <w:abstractNumId w:val="16"/>
  </w:num>
  <w:num w:numId="30">
    <w:abstractNumId w:val="20"/>
  </w:num>
  <w:num w:numId="31">
    <w:abstractNumId w:val="5"/>
  </w:num>
  <w:num w:numId="32">
    <w:abstractNumId w:val="6"/>
  </w:num>
  <w:num w:numId="33">
    <w:abstractNumId w:val="15"/>
  </w:num>
  <w:num w:numId="34">
    <w:abstractNumId w:val="11"/>
  </w:num>
  <w:num w:numId="35">
    <w:abstractNumId w:val="3"/>
  </w:num>
  <w:num w:numId="36">
    <w:abstractNumId w:val="19"/>
  </w:num>
  <w:num w:numId="37">
    <w:abstractNumId w:val="18"/>
  </w:num>
  <w:num w:numId="38">
    <w:abstractNumId w:val="14"/>
  </w:num>
  <w:num w:numId="39">
    <w:abstractNumId w:val="2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86"/>
    <w:rsid w:val="00016B27"/>
    <w:rsid w:val="000269C3"/>
    <w:rsid w:val="0003116A"/>
    <w:rsid w:val="000353EB"/>
    <w:rsid w:val="00060E5E"/>
    <w:rsid w:val="0006307B"/>
    <w:rsid w:val="00071396"/>
    <w:rsid w:val="00092EF6"/>
    <w:rsid w:val="00094A7E"/>
    <w:rsid w:val="00097C49"/>
    <w:rsid w:val="000A3054"/>
    <w:rsid w:val="000E3DE5"/>
    <w:rsid w:val="000F28DC"/>
    <w:rsid w:val="00100F71"/>
    <w:rsid w:val="00105750"/>
    <w:rsid w:val="001113A0"/>
    <w:rsid w:val="00112E0B"/>
    <w:rsid w:val="00113720"/>
    <w:rsid w:val="00117C4F"/>
    <w:rsid w:val="001226DD"/>
    <w:rsid w:val="00130228"/>
    <w:rsid w:val="001341AC"/>
    <w:rsid w:val="00137B5A"/>
    <w:rsid w:val="00145157"/>
    <w:rsid w:val="0014663B"/>
    <w:rsid w:val="001472C6"/>
    <w:rsid w:val="00150EA4"/>
    <w:rsid w:val="0016675D"/>
    <w:rsid w:val="00170240"/>
    <w:rsid w:val="00184ABB"/>
    <w:rsid w:val="00186821"/>
    <w:rsid w:val="0019212D"/>
    <w:rsid w:val="001A4B08"/>
    <w:rsid w:val="001B1937"/>
    <w:rsid w:val="001C5B5A"/>
    <w:rsid w:val="001E6C5C"/>
    <w:rsid w:val="001E75C9"/>
    <w:rsid w:val="001E7715"/>
    <w:rsid w:val="00201C5B"/>
    <w:rsid w:val="00204927"/>
    <w:rsid w:val="00205B86"/>
    <w:rsid w:val="00207F4C"/>
    <w:rsid w:val="002120A4"/>
    <w:rsid w:val="00217A51"/>
    <w:rsid w:val="00227420"/>
    <w:rsid w:val="00230D66"/>
    <w:rsid w:val="002339AC"/>
    <w:rsid w:val="00242E99"/>
    <w:rsid w:val="00243BA1"/>
    <w:rsid w:val="00264CBE"/>
    <w:rsid w:val="00264DE9"/>
    <w:rsid w:val="00273AE1"/>
    <w:rsid w:val="00282F6A"/>
    <w:rsid w:val="00290812"/>
    <w:rsid w:val="0029702D"/>
    <w:rsid w:val="002A3DC8"/>
    <w:rsid w:val="002A7BE0"/>
    <w:rsid w:val="002B7521"/>
    <w:rsid w:val="002C06A7"/>
    <w:rsid w:val="002D1B98"/>
    <w:rsid w:val="002E7498"/>
    <w:rsid w:val="002E7EB5"/>
    <w:rsid w:val="002F3910"/>
    <w:rsid w:val="0032764F"/>
    <w:rsid w:val="00353451"/>
    <w:rsid w:val="0035696D"/>
    <w:rsid w:val="003601A0"/>
    <w:rsid w:val="00362ED7"/>
    <w:rsid w:val="00373D96"/>
    <w:rsid w:val="003A0AC5"/>
    <w:rsid w:val="003B2241"/>
    <w:rsid w:val="003B283F"/>
    <w:rsid w:val="003B3C4B"/>
    <w:rsid w:val="003C415D"/>
    <w:rsid w:val="003D4ACB"/>
    <w:rsid w:val="003E06CA"/>
    <w:rsid w:val="003E2A74"/>
    <w:rsid w:val="003E67E8"/>
    <w:rsid w:val="003F1864"/>
    <w:rsid w:val="00423E26"/>
    <w:rsid w:val="004337F3"/>
    <w:rsid w:val="004436CE"/>
    <w:rsid w:val="004466E9"/>
    <w:rsid w:val="00447630"/>
    <w:rsid w:val="004A2916"/>
    <w:rsid w:val="004A4F44"/>
    <w:rsid w:val="004B5C11"/>
    <w:rsid w:val="004B5C84"/>
    <w:rsid w:val="004B79A3"/>
    <w:rsid w:val="004C7052"/>
    <w:rsid w:val="004D0DB0"/>
    <w:rsid w:val="004D3764"/>
    <w:rsid w:val="004E0442"/>
    <w:rsid w:val="004E340F"/>
    <w:rsid w:val="004E68AA"/>
    <w:rsid w:val="00500B04"/>
    <w:rsid w:val="00513961"/>
    <w:rsid w:val="00517848"/>
    <w:rsid w:val="00525282"/>
    <w:rsid w:val="00526048"/>
    <w:rsid w:val="00532CED"/>
    <w:rsid w:val="00562DBD"/>
    <w:rsid w:val="00590684"/>
    <w:rsid w:val="00591F0B"/>
    <w:rsid w:val="00592AB7"/>
    <w:rsid w:val="005967E7"/>
    <w:rsid w:val="005A3871"/>
    <w:rsid w:val="005D2A62"/>
    <w:rsid w:val="005E4285"/>
    <w:rsid w:val="005E558A"/>
    <w:rsid w:val="005F0EE6"/>
    <w:rsid w:val="005F2FCD"/>
    <w:rsid w:val="006061A4"/>
    <w:rsid w:val="006107C0"/>
    <w:rsid w:val="00613B6D"/>
    <w:rsid w:val="00625267"/>
    <w:rsid w:val="0063001B"/>
    <w:rsid w:val="006520AA"/>
    <w:rsid w:val="00663A67"/>
    <w:rsid w:val="006652DD"/>
    <w:rsid w:val="0066629A"/>
    <w:rsid w:val="00695F24"/>
    <w:rsid w:val="006B1135"/>
    <w:rsid w:val="006C169C"/>
    <w:rsid w:val="006D2328"/>
    <w:rsid w:val="006E0078"/>
    <w:rsid w:val="006E10CA"/>
    <w:rsid w:val="006E2458"/>
    <w:rsid w:val="007075B4"/>
    <w:rsid w:val="007551E5"/>
    <w:rsid w:val="0077152C"/>
    <w:rsid w:val="007765E5"/>
    <w:rsid w:val="00783822"/>
    <w:rsid w:val="0078398A"/>
    <w:rsid w:val="00784ADE"/>
    <w:rsid w:val="00791D1B"/>
    <w:rsid w:val="00792840"/>
    <w:rsid w:val="00794662"/>
    <w:rsid w:val="007961CF"/>
    <w:rsid w:val="00797B76"/>
    <w:rsid w:val="007A26EC"/>
    <w:rsid w:val="007A424B"/>
    <w:rsid w:val="007A516C"/>
    <w:rsid w:val="007A6D4F"/>
    <w:rsid w:val="007B78FE"/>
    <w:rsid w:val="007C3E0A"/>
    <w:rsid w:val="007D3936"/>
    <w:rsid w:val="007E6B66"/>
    <w:rsid w:val="007F5C1F"/>
    <w:rsid w:val="008208F3"/>
    <w:rsid w:val="0083177F"/>
    <w:rsid w:val="00857890"/>
    <w:rsid w:val="00865F7F"/>
    <w:rsid w:val="008A08FB"/>
    <w:rsid w:val="008A5E1A"/>
    <w:rsid w:val="008B2D07"/>
    <w:rsid w:val="008B4160"/>
    <w:rsid w:val="008F7A30"/>
    <w:rsid w:val="009033CD"/>
    <w:rsid w:val="00922A96"/>
    <w:rsid w:val="00934C9F"/>
    <w:rsid w:val="00935146"/>
    <w:rsid w:val="009511FF"/>
    <w:rsid w:val="009524BC"/>
    <w:rsid w:val="00964253"/>
    <w:rsid w:val="00964F33"/>
    <w:rsid w:val="009829B5"/>
    <w:rsid w:val="009842D8"/>
    <w:rsid w:val="009A178F"/>
    <w:rsid w:val="009A6B8E"/>
    <w:rsid w:val="009B7B55"/>
    <w:rsid w:val="009C10DD"/>
    <w:rsid w:val="009C66F6"/>
    <w:rsid w:val="009D5BA5"/>
    <w:rsid w:val="009E03D7"/>
    <w:rsid w:val="009F138B"/>
    <w:rsid w:val="009F6BB9"/>
    <w:rsid w:val="009F707C"/>
    <w:rsid w:val="00A11694"/>
    <w:rsid w:val="00A17644"/>
    <w:rsid w:val="00A3185F"/>
    <w:rsid w:val="00A42197"/>
    <w:rsid w:val="00A511CF"/>
    <w:rsid w:val="00A67BB6"/>
    <w:rsid w:val="00A77F40"/>
    <w:rsid w:val="00AB5163"/>
    <w:rsid w:val="00AC7DE2"/>
    <w:rsid w:val="00AD249A"/>
    <w:rsid w:val="00AD2B70"/>
    <w:rsid w:val="00AD350A"/>
    <w:rsid w:val="00AE5886"/>
    <w:rsid w:val="00B06DD9"/>
    <w:rsid w:val="00B37F9C"/>
    <w:rsid w:val="00B4524F"/>
    <w:rsid w:val="00B52C95"/>
    <w:rsid w:val="00B57255"/>
    <w:rsid w:val="00B57863"/>
    <w:rsid w:val="00B6224F"/>
    <w:rsid w:val="00B62BDE"/>
    <w:rsid w:val="00B66C2A"/>
    <w:rsid w:val="00B82A34"/>
    <w:rsid w:val="00B84EAB"/>
    <w:rsid w:val="00B912F9"/>
    <w:rsid w:val="00B9300A"/>
    <w:rsid w:val="00B9371A"/>
    <w:rsid w:val="00B96028"/>
    <w:rsid w:val="00BA09AF"/>
    <w:rsid w:val="00BA3BBD"/>
    <w:rsid w:val="00BA5078"/>
    <w:rsid w:val="00BA7FCB"/>
    <w:rsid w:val="00BB0F08"/>
    <w:rsid w:val="00BC025A"/>
    <w:rsid w:val="00BC64B7"/>
    <w:rsid w:val="00BD0B4F"/>
    <w:rsid w:val="00C00632"/>
    <w:rsid w:val="00C210CB"/>
    <w:rsid w:val="00C248EC"/>
    <w:rsid w:val="00C51177"/>
    <w:rsid w:val="00C52458"/>
    <w:rsid w:val="00C57962"/>
    <w:rsid w:val="00C622B0"/>
    <w:rsid w:val="00C64115"/>
    <w:rsid w:val="00C731C7"/>
    <w:rsid w:val="00C755E4"/>
    <w:rsid w:val="00C77A92"/>
    <w:rsid w:val="00C81621"/>
    <w:rsid w:val="00C914DA"/>
    <w:rsid w:val="00CA779B"/>
    <w:rsid w:val="00CB7FD1"/>
    <w:rsid w:val="00CD413B"/>
    <w:rsid w:val="00CE0D4C"/>
    <w:rsid w:val="00CF195E"/>
    <w:rsid w:val="00CF6C48"/>
    <w:rsid w:val="00D013E5"/>
    <w:rsid w:val="00D01E22"/>
    <w:rsid w:val="00D02A0F"/>
    <w:rsid w:val="00D16D3E"/>
    <w:rsid w:val="00D16F1C"/>
    <w:rsid w:val="00D24EED"/>
    <w:rsid w:val="00D252F1"/>
    <w:rsid w:val="00D82AA4"/>
    <w:rsid w:val="00D82EA9"/>
    <w:rsid w:val="00D8543B"/>
    <w:rsid w:val="00D90803"/>
    <w:rsid w:val="00D91A80"/>
    <w:rsid w:val="00D94479"/>
    <w:rsid w:val="00DA68E4"/>
    <w:rsid w:val="00DB6FCE"/>
    <w:rsid w:val="00DB7394"/>
    <w:rsid w:val="00DC41FD"/>
    <w:rsid w:val="00DC4FF1"/>
    <w:rsid w:val="00DF4381"/>
    <w:rsid w:val="00DF6A05"/>
    <w:rsid w:val="00E02F23"/>
    <w:rsid w:val="00E10DCE"/>
    <w:rsid w:val="00E11542"/>
    <w:rsid w:val="00E12F6A"/>
    <w:rsid w:val="00E15371"/>
    <w:rsid w:val="00E303A5"/>
    <w:rsid w:val="00E43194"/>
    <w:rsid w:val="00E464A6"/>
    <w:rsid w:val="00E52EFB"/>
    <w:rsid w:val="00E5575E"/>
    <w:rsid w:val="00EA73E8"/>
    <w:rsid w:val="00EA7864"/>
    <w:rsid w:val="00EC5935"/>
    <w:rsid w:val="00ED7E74"/>
    <w:rsid w:val="00EE00E5"/>
    <w:rsid w:val="00EE2A9D"/>
    <w:rsid w:val="00EE7E30"/>
    <w:rsid w:val="00F02CFD"/>
    <w:rsid w:val="00F06140"/>
    <w:rsid w:val="00F0798B"/>
    <w:rsid w:val="00F1026D"/>
    <w:rsid w:val="00F13740"/>
    <w:rsid w:val="00F20F4B"/>
    <w:rsid w:val="00F315C8"/>
    <w:rsid w:val="00F36C57"/>
    <w:rsid w:val="00F43B41"/>
    <w:rsid w:val="00F5234F"/>
    <w:rsid w:val="00F7080A"/>
    <w:rsid w:val="00F71AAB"/>
    <w:rsid w:val="00F72A29"/>
    <w:rsid w:val="00F85087"/>
    <w:rsid w:val="00FA0716"/>
    <w:rsid w:val="00FA3A50"/>
    <w:rsid w:val="00FA5202"/>
    <w:rsid w:val="00FD0B8A"/>
    <w:rsid w:val="00FD3129"/>
    <w:rsid w:val="00FE21D1"/>
    <w:rsid w:val="00FE2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F59ED"/>
  <w14:defaultImageDpi w14:val="0"/>
  <w15:docId w15:val="{00186030-FD77-4225-8754-C11EC00B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sv-SE"/>
    </w:rPr>
  </w:style>
  <w:style w:type="paragraph" w:styleId="Ttulo1">
    <w:name w:val="heading 1"/>
    <w:basedOn w:val="Normal"/>
    <w:next w:val="Normal"/>
    <w:link w:val="Ttulo1Car"/>
    <w:uiPriority w:val="9"/>
    <w:qFormat/>
    <w:rsid w:val="00CE0D4C"/>
    <w:pPr>
      <w:keepNext/>
      <w:keepLines/>
      <w:spacing w:before="240" w:after="240" w:line="260" w:lineRule="atLeast"/>
      <w:jc w:val="both"/>
      <w:outlineLvl w:val="0"/>
    </w:pPr>
    <w:rPr>
      <w:rFonts w:ascii="Arial" w:eastAsiaTheme="majorEastAsia" w:hAnsi="Arial" w:cstheme="majorBidi"/>
      <w:b/>
      <w:color w:val="2A678B"/>
      <w:sz w:val="40"/>
      <w:szCs w:val="32"/>
      <w:lang w:val="en-GB" w:eastAsia="en-US"/>
    </w:rPr>
  </w:style>
  <w:style w:type="paragraph" w:styleId="Ttulo2">
    <w:name w:val="heading 2"/>
    <w:next w:val="Ttulo"/>
    <w:link w:val="Ttulo2Car"/>
    <w:uiPriority w:val="9"/>
    <w:unhideWhenUsed/>
    <w:qFormat/>
    <w:rsid w:val="00CE0D4C"/>
    <w:pPr>
      <w:keepNext/>
      <w:keepLines/>
      <w:spacing w:before="320" w:line="240" w:lineRule="auto"/>
      <w:outlineLvl w:val="1"/>
    </w:pPr>
    <w:rPr>
      <w:rFonts w:ascii="Arial" w:eastAsiaTheme="majorEastAsia" w:hAnsi="Arial" w:cstheme="majorBidi"/>
      <w:b/>
      <w:caps/>
      <w:color w:val="2A678B"/>
      <w:sz w:val="26"/>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0DD"/>
    <w:pPr>
      <w:tabs>
        <w:tab w:val="center" w:pos="4252"/>
        <w:tab w:val="right" w:pos="8504"/>
      </w:tabs>
    </w:pPr>
  </w:style>
  <w:style w:type="character" w:customStyle="1" w:styleId="EncabezadoCar">
    <w:name w:val="Encabezado Car"/>
    <w:basedOn w:val="Fuentedeprrafopredeter"/>
    <w:link w:val="Encabezado"/>
    <w:uiPriority w:val="99"/>
    <w:locked/>
    <w:rsid w:val="009C10DD"/>
    <w:rPr>
      <w:rFonts w:cs="Times New Roman"/>
      <w:lang w:val="sv-SE" w:eastAsia="sv-SE"/>
    </w:rPr>
  </w:style>
  <w:style w:type="paragraph" w:styleId="Piedepgina">
    <w:name w:val="footer"/>
    <w:basedOn w:val="Normal"/>
    <w:link w:val="PiedepginaCar"/>
    <w:uiPriority w:val="99"/>
    <w:unhideWhenUsed/>
    <w:rsid w:val="009C10DD"/>
    <w:pPr>
      <w:tabs>
        <w:tab w:val="center" w:pos="4252"/>
        <w:tab w:val="right" w:pos="8504"/>
      </w:tabs>
    </w:pPr>
  </w:style>
  <w:style w:type="character" w:customStyle="1" w:styleId="PiedepginaCar">
    <w:name w:val="Pie de página Car"/>
    <w:basedOn w:val="Fuentedeprrafopredeter"/>
    <w:link w:val="Piedepgina"/>
    <w:uiPriority w:val="99"/>
    <w:locked/>
    <w:rsid w:val="009C10DD"/>
    <w:rPr>
      <w:rFonts w:cs="Times New Roman"/>
      <w:lang w:val="sv-SE" w:eastAsia="sv-SE"/>
    </w:rPr>
  </w:style>
  <w:style w:type="character" w:customStyle="1" w:styleId="Ttulo1Car">
    <w:name w:val="Título 1 Car"/>
    <w:basedOn w:val="Fuentedeprrafopredeter"/>
    <w:link w:val="Ttulo1"/>
    <w:uiPriority w:val="9"/>
    <w:rsid w:val="00CE0D4C"/>
    <w:rPr>
      <w:rFonts w:ascii="Arial" w:eastAsiaTheme="majorEastAsia" w:hAnsi="Arial" w:cstheme="majorBidi"/>
      <w:b/>
      <w:color w:val="2A678B"/>
      <w:sz w:val="40"/>
      <w:szCs w:val="32"/>
      <w:lang w:val="en-GB" w:eastAsia="en-US"/>
    </w:rPr>
  </w:style>
  <w:style w:type="character" w:customStyle="1" w:styleId="Ttulo2Car">
    <w:name w:val="Título 2 Car"/>
    <w:basedOn w:val="Fuentedeprrafopredeter"/>
    <w:link w:val="Ttulo2"/>
    <w:uiPriority w:val="9"/>
    <w:rsid w:val="00CE0D4C"/>
    <w:rPr>
      <w:rFonts w:ascii="Arial" w:eastAsiaTheme="majorEastAsia" w:hAnsi="Arial" w:cstheme="majorBidi"/>
      <w:b/>
      <w:caps/>
      <w:color w:val="2A678B"/>
      <w:sz w:val="26"/>
      <w:szCs w:val="26"/>
      <w:lang w:val="en-GB" w:eastAsia="en-US"/>
    </w:rPr>
  </w:style>
  <w:style w:type="character" w:styleId="Hipervnculo">
    <w:name w:val="Hyperlink"/>
    <w:basedOn w:val="Fuentedeprrafopredeter"/>
    <w:uiPriority w:val="99"/>
    <w:unhideWhenUsed/>
    <w:qFormat/>
    <w:rsid w:val="00CE0D4C"/>
    <w:rPr>
      <w:color w:val="ED7D31" w:themeColor="accent2"/>
      <w:u w:val="single"/>
    </w:rPr>
  </w:style>
  <w:style w:type="paragraph" w:customStyle="1" w:styleId="Bulletpoint">
    <w:name w:val="Bullet point"/>
    <w:basedOn w:val="Prrafodelista"/>
    <w:qFormat/>
    <w:rsid w:val="00CE0D4C"/>
    <w:pPr>
      <w:numPr>
        <w:numId w:val="5"/>
      </w:numPr>
      <w:spacing w:after="120" w:line="260" w:lineRule="atLeast"/>
      <w:jc w:val="both"/>
    </w:pPr>
    <w:rPr>
      <w:rFonts w:ascii="Arial" w:eastAsiaTheme="minorHAnsi" w:hAnsi="Arial" w:cstheme="minorBidi"/>
      <w:color w:val="44546A" w:themeColor="text2"/>
      <w:sz w:val="20"/>
      <w:szCs w:val="24"/>
      <w:lang w:val="en-GB" w:eastAsia="en-US"/>
    </w:rPr>
  </w:style>
  <w:style w:type="paragraph" w:customStyle="1" w:styleId="Numberedlist">
    <w:name w:val="Numbered list"/>
    <w:basedOn w:val="Prrafodelista"/>
    <w:qFormat/>
    <w:rsid w:val="00CE0D4C"/>
    <w:pPr>
      <w:numPr>
        <w:numId w:val="4"/>
      </w:numPr>
      <w:spacing w:after="120" w:line="260" w:lineRule="atLeast"/>
      <w:jc w:val="both"/>
    </w:pPr>
    <w:rPr>
      <w:rFonts w:ascii="Arial" w:eastAsiaTheme="minorHAnsi" w:hAnsi="Arial" w:cstheme="minorBidi"/>
      <w:color w:val="44546A" w:themeColor="text2"/>
      <w:sz w:val="20"/>
      <w:szCs w:val="24"/>
      <w:lang w:val="en-GB" w:eastAsia="en-US"/>
    </w:rPr>
  </w:style>
  <w:style w:type="table" w:styleId="Tablaconcuadrcula">
    <w:name w:val="Table Grid"/>
    <w:basedOn w:val="Tablanormal"/>
    <w:uiPriority w:val="39"/>
    <w:rsid w:val="00CE0D4C"/>
    <w:pPr>
      <w:spacing w:after="0" w:line="240" w:lineRule="auto"/>
    </w:pPr>
    <w:rPr>
      <w:rFonts w:eastAsiaTheme="minorHAnsi" w:cstheme="minorBid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STNUM">
    <w:name w:val="COST NUM"/>
    <w:uiPriority w:val="99"/>
    <w:rsid w:val="00CE0D4C"/>
    <w:pPr>
      <w:numPr>
        <w:numId w:val="3"/>
      </w:numPr>
    </w:pPr>
  </w:style>
  <w:style w:type="paragraph" w:styleId="Ttulo">
    <w:name w:val="Title"/>
    <w:basedOn w:val="Normal"/>
    <w:next w:val="Normal"/>
    <w:link w:val="TtuloCar"/>
    <w:uiPriority w:val="10"/>
    <w:qFormat/>
    <w:rsid w:val="00CE0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E0D4C"/>
    <w:rPr>
      <w:rFonts w:asciiTheme="majorHAnsi" w:eastAsiaTheme="majorEastAsia" w:hAnsiTheme="majorHAnsi" w:cstheme="majorBidi"/>
      <w:spacing w:val="-10"/>
      <w:kern w:val="28"/>
      <w:sz w:val="56"/>
      <w:szCs w:val="56"/>
      <w:lang w:val="sv-SE" w:eastAsia="sv-SE"/>
    </w:rPr>
  </w:style>
  <w:style w:type="paragraph" w:styleId="Prrafodelista">
    <w:name w:val="List Paragraph"/>
    <w:basedOn w:val="Normal"/>
    <w:uiPriority w:val="34"/>
    <w:qFormat/>
    <w:rsid w:val="00CE0D4C"/>
    <w:pPr>
      <w:ind w:left="720"/>
      <w:contextualSpacing/>
    </w:pPr>
  </w:style>
  <w:style w:type="character" w:styleId="Refdecomentario">
    <w:name w:val="annotation reference"/>
    <w:basedOn w:val="Fuentedeprrafopredeter"/>
    <w:uiPriority w:val="99"/>
    <w:semiHidden/>
    <w:unhideWhenUsed/>
    <w:rsid w:val="00D82AA4"/>
    <w:rPr>
      <w:sz w:val="16"/>
      <w:szCs w:val="16"/>
    </w:rPr>
  </w:style>
  <w:style w:type="paragraph" w:styleId="Textocomentario">
    <w:name w:val="annotation text"/>
    <w:basedOn w:val="Normal"/>
    <w:link w:val="TextocomentarioCar"/>
    <w:uiPriority w:val="99"/>
    <w:semiHidden/>
    <w:unhideWhenUsed/>
    <w:rsid w:val="00D82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2AA4"/>
    <w:rPr>
      <w:sz w:val="20"/>
      <w:szCs w:val="20"/>
      <w:lang w:val="sv-SE" w:eastAsia="sv-SE"/>
    </w:rPr>
  </w:style>
  <w:style w:type="paragraph" w:styleId="Asuntodelcomentario">
    <w:name w:val="annotation subject"/>
    <w:basedOn w:val="Textocomentario"/>
    <w:next w:val="Textocomentario"/>
    <w:link w:val="AsuntodelcomentarioCar"/>
    <w:uiPriority w:val="99"/>
    <w:semiHidden/>
    <w:unhideWhenUsed/>
    <w:rsid w:val="00D82AA4"/>
    <w:rPr>
      <w:b/>
      <w:bCs/>
    </w:rPr>
  </w:style>
  <w:style w:type="character" w:customStyle="1" w:styleId="AsuntodelcomentarioCar">
    <w:name w:val="Asunto del comentario Car"/>
    <w:basedOn w:val="TextocomentarioCar"/>
    <w:link w:val="Asuntodelcomentario"/>
    <w:uiPriority w:val="99"/>
    <w:semiHidden/>
    <w:rsid w:val="00D82AA4"/>
    <w:rPr>
      <w:b/>
      <w:bCs/>
      <w:sz w:val="20"/>
      <w:szCs w:val="20"/>
      <w:lang w:val="sv-SE" w:eastAsia="sv-SE"/>
    </w:rPr>
  </w:style>
  <w:style w:type="paragraph" w:styleId="Textodeglobo">
    <w:name w:val="Balloon Text"/>
    <w:basedOn w:val="Normal"/>
    <w:link w:val="TextodegloboCar"/>
    <w:uiPriority w:val="99"/>
    <w:semiHidden/>
    <w:unhideWhenUsed/>
    <w:rsid w:val="00D82A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AA4"/>
    <w:rPr>
      <w:rFonts w:ascii="Segoe UI" w:hAnsi="Segoe UI" w:cs="Segoe UI"/>
      <w:sz w:val="18"/>
      <w:szCs w:val="18"/>
      <w:lang w:val="sv-SE" w:eastAsia="sv-SE"/>
    </w:rPr>
  </w:style>
  <w:style w:type="paragraph" w:styleId="Descripcin">
    <w:name w:val="caption"/>
    <w:basedOn w:val="Normal"/>
    <w:next w:val="Normal"/>
    <w:uiPriority w:val="35"/>
    <w:unhideWhenUsed/>
    <w:qFormat/>
    <w:rsid w:val="00D01E2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6423-452D-4F21-831E-F823F54C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1480</Words>
  <Characters>7481</Characters>
  <Application>Microsoft Office Word</Application>
  <DocSecurity>0</DocSecurity>
  <Lines>62</Lines>
  <Paragraphs>17</Paragraphs>
  <ScaleCrop>false</ScaleCrop>
  <HeadingPairs>
    <vt:vector size="6" baseType="variant">
      <vt:variant>
        <vt:lpstr>Titel</vt:lpstr>
      </vt:variant>
      <vt:variant>
        <vt:i4>1</vt:i4>
      </vt:variant>
      <vt:variant>
        <vt:lpstr>Título</vt:lpstr>
      </vt:variant>
      <vt:variant>
        <vt:i4>1</vt:i4>
      </vt:variant>
      <vt:variant>
        <vt:lpstr>Títulos</vt:lpstr>
      </vt:variant>
      <vt:variant>
        <vt:i4>2</vt:i4>
      </vt:variant>
    </vt:vector>
  </HeadingPairs>
  <TitlesOfParts>
    <vt:vector size="4" baseType="lpstr">
      <vt:lpstr>cost report</vt:lpstr>
      <vt:lpstr>cost report</vt:lpstr>
      <vt:lpstr>Subject │ Minutes of the First Working Groups 1, 2, 3 and 4 Meetings of COST Act</vt:lpstr>
      <vt:lpstr>    LIST OF ANNEXES</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dc:title>
  <dc:subject/>
  <dc:creator>www.cost.eu</dc:creator>
  <cp:keywords/>
  <dc:description/>
  <cp:lastModifiedBy>MANUEL ELOY ORTIZ SANTALIESTRA</cp:lastModifiedBy>
  <cp:revision>49</cp:revision>
  <dcterms:created xsi:type="dcterms:W3CDTF">2021-03-24T14:36:00Z</dcterms:created>
  <dcterms:modified xsi:type="dcterms:W3CDTF">2022-01-21T11:41:00Z</dcterms:modified>
</cp:coreProperties>
</file>